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D281" w14:textId="7893DF78" w:rsidR="00C42E0B" w:rsidRPr="00AB65A4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AB65A4">
        <w:rPr>
          <w:rFonts w:ascii="Times New Roman" w:hAnsi="Times New Roman" w:cs="Times New Roman"/>
          <w:bCs/>
        </w:rPr>
        <w:t>Załącznik</w:t>
      </w:r>
      <w:r w:rsidR="00A862A6" w:rsidRPr="00AB65A4">
        <w:rPr>
          <w:rFonts w:ascii="Times New Roman" w:hAnsi="Times New Roman" w:cs="Times New Roman"/>
          <w:bCs/>
        </w:rPr>
        <w:t xml:space="preserve"> </w:t>
      </w:r>
      <w:r w:rsidRPr="00AB65A4">
        <w:rPr>
          <w:rFonts w:ascii="Times New Roman" w:hAnsi="Times New Roman" w:cs="Times New Roman"/>
          <w:bCs/>
        </w:rPr>
        <w:t>B.56.</w:t>
      </w:r>
    </w:p>
    <w:p w14:paraId="53BA7DB9" w14:textId="77777777" w:rsidR="00C42E0B" w:rsidRPr="00AB65A4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475FA66" w14:textId="784F14B0" w:rsidR="00491560" w:rsidRPr="00AB65A4" w:rsidRDefault="00491560" w:rsidP="00B73F70">
      <w:pPr>
        <w:autoSpaceDE w:val="0"/>
        <w:autoSpaceDN w:val="0"/>
        <w:adjustRightInd w:val="0"/>
        <w:spacing w:after="240" w:line="276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bookmarkStart w:id="0" w:name="_Hlk110000437"/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LECZENIE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CHORYCH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RAKA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GRUCZOŁU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KROKOWEGO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(ICD-10</w:t>
      </w:r>
      <w:r w:rsidR="00772B8E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:</w:t>
      </w:r>
      <w:r w:rsidR="00A862A6"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AB65A4">
        <w:rPr>
          <w:rFonts w:ascii="Times New Roman" w:eastAsia="Times New Roman" w:hAnsi="Times New Roman" w:cs="Times New Roman"/>
          <w:b/>
          <w:bCs/>
          <w:sz w:val="28"/>
          <w:szCs w:val="20"/>
        </w:rPr>
        <w:t>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98"/>
        <w:gridCol w:w="4364"/>
        <w:gridCol w:w="4226"/>
      </w:tblGrid>
      <w:tr w:rsidR="00491560" w:rsidRPr="00AB65A4" w14:paraId="707334B3" w14:textId="77777777" w:rsidTr="000D6E3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D13ECE1" w14:textId="44F56503" w:rsidR="00491560" w:rsidRPr="00AB65A4" w:rsidRDefault="00491560" w:rsidP="000D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ŚWIADCZENIA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GWARANTOWANEGO</w:t>
            </w:r>
          </w:p>
        </w:tc>
      </w:tr>
      <w:tr w:rsidR="00A862A6" w:rsidRPr="00AB65A4" w14:paraId="15A5697E" w14:textId="77777777" w:rsidTr="000D6E31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361" w14:textId="77777777" w:rsidR="00491560" w:rsidRPr="00AB65A4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1BEA" w14:textId="0E8C5EFE" w:rsidR="00491560" w:rsidRPr="00AB65A4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6D83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DAWKOWANIA LEKU </w:t>
            </w:r>
            <w:r w:rsidR="00303C40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0A6D83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B5CD" w14:textId="0B07CF66" w:rsidR="00491560" w:rsidRPr="00AB65A4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DIAGNOSTYCZNE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WYKONYWANE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</w:t>
            </w:r>
            <w:r w:rsidR="00A862A6"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A862A6" w:rsidRPr="00DE1BAD" w14:paraId="46A2534B" w14:textId="77777777" w:rsidTr="000D6E31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BCF8" w14:textId="254A78E8" w:rsidR="00B95657" w:rsidRPr="00AB65A4" w:rsidRDefault="00B95657" w:rsidP="00303C40">
            <w:pPr>
              <w:pStyle w:val="Tekstkomentarza"/>
              <w:spacing w:before="120" w:after="6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_Hlk126516355"/>
            <w:r w:rsidRPr="00AB65A4">
              <w:rPr>
                <w:rFonts w:ascii="Times New Roman" w:hAnsi="Times New Roman" w:cs="Times New Roman"/>
              </w:rPr>
              <w:t>W programie finansuje się tylko jedną linię hormonoterapii lekiem nowej generacji,</w:t>
            </w:r>
            <w:r w:rsidR="00B63D2C" w:rsidRPr="00AB65A4">
              <w:rPr>
                <w:rFonts w:ascii="Times New Roman" w:hAnsi="Times New Roman" w:cs="Times New Roman"/>
              </w:rPr>
              <w:t xml:space="preserve"> </w:t>
            </w:r>
            <w:r w:rsidRPr="00AB65A4">
              <w:rPr>
                <w:rFonts w:ascii="Times New Roman" w:hAnsi="Times New Roman" w:cs="Times New Roman"/>
              </w:rPr>
              <w:t>jedną linię chemioterapii</w:t>
            </w:r>
            <w:r w:rsidR="00227946" w:rsidRPr="00AB65A4">
              <w:rPr>
                <w:rFonts w:ascii="Times New Roman" w:hAnsi="Times New Roman" w:cs="Times New Roman"/>
              </w:rPr>
              <w:t>, jedną linię terapii inhibitorem PARP</w:t>
            </w:r>
            <w:r w:rsidRPr="00AB65A4">
              <w:rPr>
                <w:rFonts w:ascii="Times New Roman" w:hAnsi="Times New Roman" w:cs="Times New Roman"/>
              </w:rPr>
              <w:t xml:space="preserve"> i jedną linię terapii izotopem z wykorzystaniem substancji</w:t>
            </w:r>
            <w:r w:rsidR="004D441C" w:rsidRPr="00AB65A4">
              <w:rPr>
                <w:rFonts w:ascii="Times New Roman" w:hAnsi="Times New Roman" w:cs="Times New Roman"/>
              </w:rPr>
              <w:t>:</w:t>
            </w:r>
          </w:p>
          <w:bookmarkEnd w:id="1"/>
          <w:p w14:paraId="55A131A3" w14:textId="7034C539" w:rsidR="007D0522" w:rsidRPr="00AB65A4" w:rsidRDefault="007D0522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</w:t>
            </w:r>
            <w:r w:rsidR="0056071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FF3E020" w14:textId="337F0223" w:rsidR="007D0522" w:rsidRPr="00AB65A4" w:rsidRDefault="007D0522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</w:t>
            </w:r>
            <w:r w:rsidR="0056071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7C269D1" w14:textId="14FA653E" w:rsidR="007D0522" w:rsidRPr="00AB65A4" w:rsidRDefault="007D0522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r w:rsidR="0056071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812ABA2" w14:textId="7E4FCD2C" w:rsidR="00E36E5E" w:rsidRPr="00AB65A4" w:rsidRDefault="00E36E5E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kabazytaksel;</w:t>
            </w:r>
          </w:p>
          <w:p w14:paraId="4B4544D9" w14:textId="77777777" w:rsidR="00D0654C" w:rsidRPr="00AB65A4" w:rsidRDefault="004943AE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olaparyb;</w:t>
            </w:r>
          </w:p>
          <w:p w14:paraId="72D2596E" w14:textId="7C09F70F" w:rsidR="00DB4537" w:rsidRPr="00AB65A4" w:rsidRDefault="004943AE" w:rsidP="00303C40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dichlorek radu Ra-223;</w:t>
            </w:r>
          </w:p>
          <w:p w14:paraId="512A0397" w14:textId="726442ED" w:rsidR="001B0E04" w:rsidRPr="00AB65A4" w:rsidRDefault="001B0E04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="00EF44C2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wrażliwego na kastrację</w:t>
            </w:r>
            <w:r w:rsidR="00EF44C2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(mHSPC)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stosowany jest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apalutamid</w:t>
            </w:r>
            <w:r w:rsidR="00A94966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53D8A088" w14:textId="7B3BB165" w:rsidR="001B0E04" w:rsidRPr="00AB65A4" w:rsidRDefault="001B0E04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raka gruczołu krokowego</w:t>
            </w:r>
            <w:r w:rsidR="00B63D2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bez przerzutów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(nmCRPC)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r w:rsidR="00017DA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DE1276A" w14:textId="14CC7DFD" w:rsidR="008626CB" w:rsidRPr="00AB65A4" w:rsidRDefault="001B0E04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opornego na kastrację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(mCRPC)</w:t>
            </w:r>
            <w:r w:rsidR="00303C4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36E5E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kabazytaksel </w:t>
            </w:r>
            <w:r w:rsidR="00E36E5E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36E5E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olaparyb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dichlorek radu Ra-223</w:t>
            </w:r>
            <w:r w:rsidR="00E36E5E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DF917D4" w14:textId="425C3772" w:rsidR="00E27E63" w:rsidRPr="00AB65A4" w:rsidRDefault="00E27E63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6C7F26B" w14:textId="7799169F" w:rsidR="00E27E63" w:rsidRPr="00AB65A4" w:rsidRDefault="00E27E63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programie istnieje jednorazowa możliwość leczenia niesteroidowymi antyandrogenami.</w:t>
            </w:r>
          </w:p>
          <w:p w14:paraId="13642951" w14:textId="77777777" w:rsidR="001869D7" w:rsidRPr="00AB65A4" w:rsidRDefault="001869D7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A242DE0" w14:textId="63C30237" w:rsidR="008D37B1" w:rsidRPr="00AB65A4" w:rsidRDefault="008D37B1" w:rsidP="00303C40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</w:t>
            </w:r>
            <w:r w:rsidR="005A6322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walifikacji </w:t>
            </w:r>
          </w:p>
          <w:p w14:paraId="6E1FDEAA" w14:textId="36E4BE70" w:rsidR="00886B5E" w:rsidRPr="00AB65A4" w:rsidRDefault="00032E20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Muszą zostać spełnione łącznie kryteria ogólne (1.1.) oraz kryteria szczegółowe (1.2.) dla poszczególnych substancji czynnych.</w:t>
            </w:r>
          </w:p>
          <w:p w14:paraId="3C4C5837" w14:textId="77777777" w:rsidR="00032E20" w:rsidRPr="00AB65A4" w:rsidRDefault="00032E20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47E03" w14:textId="3C251E24" w:rsidR="00886B5E" w:rsidRPr="00AB65A4" w:rsidRDefault="00327C66" w:rsidP="00303C4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393450CA" w14:textId="2C91A4C8" w:rsidR="00A11E82" w:rsidRPr="00AB65A4" w:rsidRDefault="00476EE8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histologiczne rozpoznanie raka gruczołowego stercza</w:t>
            </w:r>
            <w:r w:rsidR="00A11E82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270C361E" w14:textId="4A1703B9" w:rsidR="00A11E82" w:rsidRPr="00AB65A4" w:rsidRDefault="00A11E82" w:rsidP="00303C40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903"/>
              </w:tabs>
              <w:spacing w:after="60" w:line="276" w:lineRule="auto"/>
              <w:ind w:right="28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wiek </w:t>
            </w:r>
            <w:r w:rsidR="008A7157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≥ 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18 </w:t>
            </w:r>
            <w:r w:rsidR="008A7157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lat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6EEE8F5A" w14:textId="1CA65E2B" w:rsidR="00C65579" w:rsidRPr="00AB65A4" w:rsidRDefault="00A11E82" w:rsidP="00303C40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stan sprawności</w:t>
            </w:r>
            <w:r w:rsidR="002F04FC" w:rsidRPr="00AB65A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2B82F7" w14:textId="2166EC50" w:rsidR="00911820" w:rsidRPr="00AB65A4" w:rsidRDefault="00911820" w:rsidP="00303C40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26843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r w:rsidR="00194617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apalutamidem </w:t>
            </w:r>
            <w:r w:rsidR="00FC2140" w:rsidRPr="00AB65A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94617" w:rsidRPr="00AB65A4">
              <w:rPr>
                <w:rFonts w:ascii="Times New Roman" w:hAnsi="Times New Roman" w:cs="Times New Roman"/>
                <w:sz w:val="20"/>
                <w:szCs w:val="20"/>
              </w:rPr>
              <w:t>nmCRPC), darolutamidem, enzalutamidem (nmCRPC albo mCRPC przed podaniem docetakselu)</w:t>
            </w:r>
          </w:p>
          <w:p w14:paraId="2E31FA33" w14:textId="77777777" w:rsidR="00911820" w:rsidRPr="00AB65A4" w:rsidRDefault="00726843" w:rsidP="00303C4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7D85A6A2" w14:textId="4A96247A" w:rsidR="00194617" w:rsidRPr="00AB65A4" w:rsidRDefault="00726843" w:rsidP="00303C40">
            <w:pPr>
              <w:pStyle w:val="Akapitzlist"/>
              <w:widowControl w:val="0"/>
              <w:numPr>
                <w:ilvl w:val="4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1820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według ECOG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w przypadku leczenia</w:t>
            </w:r>
            <w:r w:rsidR="00FC2140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apalutamidem (mHSPC),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617" w:rsidRPr="00AB65A4">
              <w:rPr>
                <w:rFonts w:ascii="Times New Roman" w:hAnsi="Times New Roman" w:cs="Times New Roman"/>
                <w:sz w:val="20"/>
                <w:szCs w:val="20"/>
              </w:rPr>
              <w:t>enzalutamidem (mCRPC po podaniu docetakselu) kabazytakselem, olaparybem, dichlorkiem radu Ra-223;</w:t>
            </w:r>
          </w:p>
          <w:p w14:paraId="7717C391" w14:textId="582AD04B" w:rsidR="00A11E82" w:rsidRPr="00AB65A4" w:rsidRDefault="00A11E82" w:rsidP="00303C40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</w:t>
            </w:r>
            <w:r w:rsidR="00177493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aktualnej 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Charakterystyki Produktu Leczniczego (ChPL);</w:t>
            </w:r>
          </w:p>
          <w:p w14:paraId="65B6825E" w14:textId="118DA6E8" w:rsidR="00A11E82" w:rsidRPr="00AB65A4" w:rsidRDefault="00A11E82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 w:rsidR="00A6366E" w:rsidRPr="00AB65A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zgodnie z</w:t>
            </w:r>
            <w:r w:rsidR="00A6366E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zapisami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493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aktualnej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055E8853" w14:textId="77777777" w:rsidR="00177493" w:rsidRPr="00AB65A4" w:rsidRDefault="000A507C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nieobecność schorzeń lub stanów stanowiących przeciwskazanie do zastosowania terapii</w:t>
            </w:r>
            <w:r w:rsidR="00FE49B5"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B3654" w14:textId="5A1C2905" w:rsidR="00DB4537" w:rsidRPr="00AB65A4" w:rsidRDefault="00FE49B5" w:rsidP="00303C40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21301411" w14:textId="2B92288E" w:rsidR="000B4003" w:rsidRPr="00AB65A4" w:rsidRDefault="00FE49B5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</w:t>
            </w:r>
            <w:r w:rsidR="00C6578F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</w:t>
            </w:r>
            <w:r w:rsidR="00177493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</w:t>
            </w:r>
            <w:r w:rsidR="00C6578F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raka stercza z różnicowaniem neuroendokrynnym lub raka</w:t>
            </w:r>
            <w:r w:rsidR="000B4003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6578F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drobnokomórkowego lub raka przewodowego</w:t>
            </w:r>
            <w:r w:rsidR="00E46071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.</w:t>
            </w:r>
          </w:p>
          <w:p w14:paraId="44A960A2" w14:textId="77777777" w:rsidR="008626CB" w:rsidRPr="00AB65A4" w:rsidRDefault="008626CB" w:rsidP="00303C40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</w:p>
          <w:p w14:paraId="03987CBA" w14:textId="7C47944C" w:rsidR="00DB4537" w:rsidRPr="00AB65A4" w:rsidRDefault="004D441C" w:rsidP="00303C40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DB4537"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zczegółowe kryteria kwalifikacji</w:t>
            </w:r>
          </w:p>
          <w:p w14:paraId="57874156" w14:textId="1BBAA1CD" w:rsidR="008D37B1" w:rsidRPr="00AB65A4" w:rsidRDefault="00BE3676" w:rsidP="00303C40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</w:t>
            </w:r>
            <w:r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D761A4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wrażliwego na kastrację raka gruczołu krokowego </w:t>
            </w:r>
            <w:r w:rsidR="006F700C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o małym obciążeniu przerzutami (z ang. low volume disease)</w:t>
            </w:r>
            <w:r w:rsidR="00F149E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8D37B1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apalutamidem </w:t>
            </w:r>
          </w:p>
          <w:p w14:paraId="2B3DAEF3" w14:textId="477BA272" w:rsidR="00AF2629" w:rsidRPr="00AB65A4" w:rsidRDefault="00BB4173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stadium wrażliwości na </w:t>
            </w:r>
            <w:r w:rsidR="00B86DD6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kastrację</w:t>
            </w:r>
            <w:r w:rsidR="004178CD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AAC74FF" w14:textId="245AC566" w:rsidR="0051281D" w:rsidRPr="00AB65A4" w:rsidRDefault="0085355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udokumentowane</w:t>
            </w:r>
            <w:r w:rsidR="0078470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przeciwskazania</w:t>
            </w:r>
            <w:r w:rsidR="00FB24A1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do </w:t>
            </w:r>
            <w:r w:rsidR="0063634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zastosowania</w:t>
            </w:r>
            <w:r w:rsidR="00FB24A1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docetakselu;</w:t>
            </w:r>
          </w:p>
          <w:p w14:paraId="3CF0686A" w14:textId="4E12410C" w:rsidR="00CE3BC0" w:rsidRPr="00AB65A4" w:rsidRDefault="00D631E4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 cech radiologicznej lub biochemicznej progresji</w:t>
            </w:r>
            <w:r w:rsidR="00FE49B5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u chorych leczonych deprywacją androgenów przed włączeniem do programu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324A87" w14:textId="337F0AE6" w:rsidR="00CE3BC0" w:rsidRPr="00AB65A4" w:rsidRDefault="00CE3BC0" w:rsidP="004A1B03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występowanie </w:t>
            </w:r>
            <w:r w:rsidR="004A1B03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≥ </w:t>
            </w:r>
            <w:r w:rsidR="004A1B0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F51D5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przerzutu do kości</w:t>
            </w:r>
            <w:r w:rsidR="004A1B0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(jeśli </w:t>
            </w:r>
            <w:r w:rsidR="001F51D5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jest ich </w:t>
            </w:r>
            <w:r w:rsidR="004A1B03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≥ 4 to zmiany </w:t>
            </w:r>
            <w:r w:rsidR="001F51D5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muszą być ograniczone do </w:t>
            </w:r>
            <w:r w:rsidR="004A1B03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kręgosłup</w:t>
            </w:r>
            <w:r w:rsidR="001F51D5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 xml:space="preserve">a i </w:t>
            </w:r>
            <w:r w:rsidR="004A1B03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miednic</w:t>
            </w:r>
            <w:r w:rsidR="001F51D5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y</w:t>
            </w:r>
            <w:r w:rsidR="004A1B03" w:rsidRPr="00AB65A4">
              <w:rPr>
                <w:rFonts w:ascii="Cambria Math" w:eastAsia="SimSun" w:hAnsi="Cambria Math" w:cs="Times New Roman"/>
                <w:sz w:val="20"/>
                <w:szCs w:val="20"/>
                <w:lang w:eastAsia="zh-CN"/>
              </w:rPr>
              <w:t>)</w:t>
            </w:r>
            <w:r w:rsidR="004A1B0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badaniu scyntygraficznym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F633C69" w14:textId="5272D117" w:rsidR="0051281D" w:rsidRPr="00AB65A4" w:rsidRDefault="0051281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nieobecność przerzutów w narządach miąższowych (dopuszczalne przerzuty w węzłach chłonnych);</w:t>
            </w:r>
          </w:p>
          <w:p w14:paraId="33871BC1" w14:textId="4577F321" w:rsidR="00BE4901" w:rsidRPr="00AB65A4" w:rsidRDefault="00BE4901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</w:t>
            </w:r>
            <w:r w:rsidR="00412682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opuszczalne jest wcześniejsze leczenie o założeniu radykalnym, w tym stosowanie hormonoterapii uzupełniającej przez maksymalnie 3 lata, o ile została zakończona co najmniej rok wcześniej</w:t>
            </w:r>
            <w:r w:rsidR="00FB24A1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295E607" w14:textId="62EB9549" w:rsidR="002908D9" w:rsidRPr="00AB65A4" w:rsidRDefault="002908D9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dopuszczalne jest </w:t>
            </w:r>
            <w:r w:rsidR="00F1282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wcześniejsze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deprywacją androgenów (kastracja farmakologiczna lub chirurgiczna), ale nie dłużej niż 6 miesięcy na etapie choroby przerzutowej;</w:t>
            </w:r>
          </w:p>
          <w:p w14:paraId="28AE599E" w14:textId="4F6B692D" w:rsidR="00CE3BC0" w:rsidRPr="00AB65A4" w:rsidRDefault="0051281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niestosowanie wcześniejszego leczenia octanem abirateronu;</w:t>
            </w:r>
          </w:p>
          <w:p w14:paraId="31EC7F01" w14:textId="77777777" w:rsidR="00CE3BC0" w:rsidRPr="00AB65A4" w:rsidRDefault="00FE49B5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niestosowanie</w:t>
            </w:r>
            <w:r w:rsidR="00D631E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leków antyresorpcyjnych wpływających na metabolizm kostny</w:t>
            </w:r>
            <w:r w:rsidR="00E13D1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631E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(nie dotyczy leków stosowanych w leczeniu osteoporozy)</w:t>
            </w:r>
            <w:r w:rsidR="001A259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7BD496D" w14:textId="42B90FAC" w:rsidR="000B4003" w:rsidRPr="00AB65A4" w:rsidRDefault="00FB34E3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brak napadów padaczkowych w wywiadzie lub innych czynników predysponujących do ich wystąpienia</w:t>
            </w:r>
            <w:r w:rsidR="00E46071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B9511E1" w14:textId="77777777" w:rsidR="00E46071" w:rsidRPr="00AB65A4" w:rsidRDefault="00E46071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58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EF46B17" w14:textId="28F28C68" w:rsidR="007A055A" w:rsidRPr="00AB65A4" w:rsidRDefault="00BE3676" w:rsidP="00303C40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</w:t>
            </w:r>
            <w:r w:rsidR="00D761A4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opornego na kastrację raka gruczołu krokowego bez przerzutów</w:t>
            </w:r>
            <w:r w:rsidR="007A055A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apalutamidem albo darolutamidem albo enzalutamidem</w:t>
            </w:r>
          </w:p>
          <w:p w14:paraId="04DDD440" w14:textId="77777777" w:rsidR="007F36A1" w:rsidRPr="00AB65A4" w:rsidRDefault="007A055A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ng/dl lub mniej (tj. wynoszącego 1,7 nmol/l lub mniej), u chorych z progresją choroby ocenioną wg kryterium w pkt </w:t>
            </w:r>
            <w:r w:rsidR="002626B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3D3756F" w14:textId="5D9B2BAB" w:rsidR="007F36A1" w:rsidRPr="00AB65A4" w:rsidRDefault="007F36A1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progresja choroby określona na podstawie trzech kolejnych wzrostów stężenia PSA, oznaczonego w co najmniej tygodniowych odstępach, z dwoma wzrostami o co najmniej 50% wobec wartości wyjściowej (nadir) i stężenie PSA &gt;2 ng/ml;</w:t>
            </w:r>
          </w:p>
          <w:p w14:paraId="0ACEFDC2" w14:textId="0515E88F" w:rsidR="002626B6" w:rsidRPr="00AB65A4" w:rsidRDefault="007A055A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przerzutów odległych (cecha M0, dopuszczalne są jedynie przerzuty w węzłach chłonnych poniżej rozwidlenia aorty o ile w krótkim wymiarze mają 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lastRenderedPageBreak/>
              <w:t>mniej niż 2 cm – cecha N1)</w:t>
            </w:r>
            <w:r w:rsidR="00C831A3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na podstawie scyntygrafii kości</w:t>
            </w:r>
            <w:r w:rsidR="00AF079D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oraz</w:t>
            </w:r>
            <w:r w:rsidR="00C831A3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tomografii komputerowej lub rezonansu magnetycznego</w:t>
            </w:r>
            <w:r w:rsidR="004A1B03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lub</w:t>
            </w:r>
            <w:r w:rsidR="00AF079D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90AA6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rentgenografii</w:t>
            </w:r>
            <w:r w:rsidR="00AF079D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klatki piersiowej</w:t>
            </w:r>
            <w:r w:rsidR="004178CD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390DD727" w14:textId="43139324" w:rsidR="007A055A" w:rsidRPr="00AB65A4" w:rsidRDefault="007A055A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wysokie ryzyko rozwoju przerzutów,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zdefiniowane jako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czas podwojenia stężenia PSA (PSA doubling time – PSA DT) ≤ 10 miesięcy</w:t>
            </w:r>
            <w:r w:rsidR="004178CD"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61009F06" w14:textId="62905E17" w:rsidR="004506CC" w:rsidRPr="00AB65A4" w:rsidRDefault="004506CC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niestosowanie wcześniejszego leczenia octanem abirateronu;</w:t>
            </w:r>
          </w:p>
          <w:p w14:paraId="21C4D50A" w14:textId="010FCFEC" w:rsidR="00740F85" w:rsidRPr="00AB65A4" w:rsidRDefault="002626B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brak napadów padaczkowych w wywiadzie lub innych czynników predysponujących do ich wystąpienia (w przypadku leczenia apalutamidem albo enzalutamidem)</w:t>
            </w:r>
            <w:r w:rsidR="00E46071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6A8361F" w14:textId="77777777" w:rsidR="00E46071" w:rsidRPr="00AB65A4" w:rsidRDefault="00E46071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59B6701" w14:textId="69FC452F" w:rsidR="007A055A" w:rsidRPr="00AB65A4" w:rsidRDefault="00BE3676" w:rsidP="00303C40">
            <w:pPr>
              <w:pStyle w:val="Akapitzlist"/>
              <w:numPr>
                <w:ilvl w:val="2"/>
                <w:numId w:val="2"/>
              </w:numPr>
              <w:tabs>
                <w:tab w:val="left" w:pos="47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</w:t>
            </w:r>
            <w:r w:rsidR="00F149E9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na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D761A4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 z przerzutami</w:t>
            </w:r>
            <w:r w:rsidR="00E46DE2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F149E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enzalutamidem </w:t>
            </w:r>
            <w:r w:rsidR="00E46DE2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przed zastosowaniem </w:t>
            </w:r>
            <w:r w:rsidR="00663736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docetakselu</w:t>
            </w:r>
            <w:r w:rsidR="00E74034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F149E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(</w:t>
            </w:r>
            <w:r w:rsidR="002908D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gdy zastosowanie chemioterapii nie jest wskazane klinicznie</w:t>
            </w:r>
            <w:r w:rsidR="00F149E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)</w:t>
            </w:r>
            <w:r w:rsidR="002908D9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po zastosowaniu </w:t>
            </w:r>
            <w:r w:rsidR="00E46DE2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docetakselu</w:t>
            </w:r>
            <w:r w:rsidR="00E46DE2"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  <w:p w14:paraId="4B974496" w14:textId="5B64B54D" w:rsidR="00E46DE2" w:rsidRPr="00AB65A4" w:rsidRDefault="00E46DE2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 ng/dl lub mniej (tj. wynoszącego 1,7 nmol/l lub mniej), u chorych z progresją choroby ocenioną wg kryterium w pkt 2;</w:t>
            </w:r>
          </w:p>
          <w:p w14:paraId="02BD75A5" w14:textId="7B17E58E" w:rsidR="00FD1A72" w:rsidRPr="00AB65A4" w:rsidRDefault="007F36A1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progresja choroby określona na podstawie trzech kolejnych wzrostów stężenia PSA, oznaczonego w co najmniej tygodniowych odstępach, z dwoma wzrostami o co najmniej 50% wobec wartości wyjściowej (nadir) i stężenie PSA &gt;2 ng/ml</w:t>
            </w:r>
            <w:r w:rsidR="0089004C" w:rsidRPr="00AB65A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8D2F4E" w14:textId="59F3B942" w:rsidR="00FD1A72" w:rsidRPr="00AB65A4" w:rsidRDefault="00E46DE2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62B05163" w14:textId="30F72D2F" w:rsidR="00A15C0B" w:rsidRPr="00AB65A4" w:rsidRDefault="00E46DE2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</w:t>
            </w:r>
            <w:r w:rsidR="00B55C7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zmian (układ kostny, narządy wewnętrzne, tkanki miękkie) w badaniach obrazowych</w:t>
            </w:r>
            <w:r w:rsidR="0008371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C882C18" w14:textId="77777777" w:rsidR="004506CC" w:rsidRPr="00AB65A4" w:rsidRDefault="00A15C0B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przed zastosowaniem chemioterapii niestosowanie opioidów z powodu objawów raka gruczołu krokowego (dopuszczalne jest stosowanie opioidów w przeszłości);</w:t>
            </w:r>
          </w:p>
          <w:p w14:paraId="3EA21F7A" w14:textId="043829C5" w:rsidR="004506CC" w:rsidRPr="00AB65A4" w:rsidRDefault="004506CC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niestosowanie wcześniejszego leczenia octanem abirateronu</w:t>
            </w:r>
            <w:r w:rsidR="00B54A2E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79A73006" w14:textId="77777777" w:rsidR="00B54A2E" w:rsidRPr="00AB65A4" w:rsidRDefault="00B54A2E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5A74D26B" w14:textId="7D8A35F3" w:rsidR="009051BD" w:rsidRPr="00AB65A4" w:rsidRDefault="00BE3676" w:rsidP="00303C40">
            <w:pPr>
              <w:pStyle w:val="Akapitzlist"/>
              <w:widowControl w:val="0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 xml:space="preserve">Chorych </w:t>
            </w:r>
            <w:r w:rsidR="00F149E9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na </w:t>
            </w:r>
            <w:r w:rsidR="00D761A4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</w:t>
            </w:r>
            <w:r w:rsidR="00D761A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kabazytakselem</w:t>
            </w:r>
            <w:r w:rsidR="001869D7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F149E9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(leczonych wcześniej docetakselem)</w:t>
            </w:r>
          </w:p>
          <w:p w14:paraId="4EB94C08" w14:textId="77777777" w:rsidR="009051BD" w:rsidRPr="00AB65A4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 ng/dl lub mniej (tj. wynoszącego 1,7 nmol/l lub mniej) u chorych z progresją choroby ocenioną wg kryterium w pkt 2;</w:t>
            </w:r>
          </w:p>
          <w:p w14:paraId="35A69DBB" w14:textId="77777777" w:rsidR="009051BD" w:rsidRPr="00AB65A4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progresja choroby określona na podstawie trzech kolejnych wzrostów stężenia PSA, oznaczonego w co najmniej tygodniowych odstępach, z dwoma wzrostami o co najmniej 50% wobec wartości wyjściowej (nadir) i stężenie PSA &gt;2 ng/ml,</w:t>
            </w:r>
          </w:p>
          <w:p w14:paraId="53FDEC12" w14:textId="77777777" w:rsidR="009051BD" w:rsidRPr="00AB65A4" w:rsidRDefault="009051BD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4F563FE9" w14:textId="4550DB62" w:rsidR="009051BD" w:rsidRPr="00AB65A4" w:rsidRDefault="009051BD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3ADEB186" w14:textId="77777777" w:rsidR="009051BD" w:rsidRPr="00AB65A4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aktywność aminotransferazy asparaginowej (AspAT) nie większa niż 1,5-krotna wartość górnego zakresu normy, a w przypadku niespełnienia tego kryterium konieczne jest zmniejszenie dawki zgodnie z zapisami ChPL;</w:t>
            </w:r>
          </w:p>
          <w:p w14:paraId="63734DFD" w14:textId="25681834" w:rsidR="009051BD" w:rsidRPr="00AB65A4" w:rsidRDefault="009051BD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stężenie bilirubiny całkowitej w granicach normy, a w przypadku gdy stężenie bilirubiny przekracza wartość górnego zakresu normy, ale nie jest większe niż 3-krotna wartoś</w:t>
            </w:r>
            <w:r w:rsidR="00F1522C" w:rsidRPr="00AB65A4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górnego zakresu normy, konieczne jest zmniejszenie dawki zgodnie z zapisami ChPL</w:t>
            </w:r>
            <w:r w:rsidR="00715E60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; nie wolno stosować </w:t>
            </w:r>
            <w:r w:rsidR="00303C40" w:rsidRPr="00AB65A4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715E60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gdy stężenie bilirubiny przekracza 3-krotną wartość górnego zakresu normy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A0CFD1" w14:textId="77777777" w:rsidR="00E46071" w:rsidRPr="00AB65A4" w:rsidRDefault="00E46071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152A847D" w14:textId="3A83D3ED" w:rsidR="00E36E5E" w:rsidRPr="00AB65A4" w:rsidRDefault="00BE3676" w:rsidP="00303C40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 na</w:t>
            </w:r>
            <w:r w:rsidR="00D761A4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opornego na kastrację raka gruczołu krokowego</w:t>
            </w:r>
            <w:r w:rsidR="00D761A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36E5E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olaparybem</w:t>
            </w:r>
          </w:p>
          <w:p w14:paraId="1B2961B1" w14:textId="77777777" w:rsidR="00E36E5E" w:rsidRPr="00AB65A4" w:rsidRDefault="00E36E5E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 ng/dl lub mniej (tj. wynoszącego 1,7 nmol/l lub mniej), u chorych z progresją choroby ocenioną wg kryterium w pkt 2;</w:t>
            </w:r>
          </w:p>
          <w:p w14:paraId="1D957235" w14:textId="7685E29E" w:rsidR="00E36E5E" w:rsidRPr="00AB65A4" w:rsidRDefault="00E36E5E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PSA &gt;2 ng/ml</w:t>
            </w:r>
          </w:p>
          <w:p w14:paraId="094B29DB" w14:textId="77777777" w:rsidR="00E36E5E" w:rsidRPr="00AB65A4" w:rsidRDefault="00E36E5E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3E5D36BA" w14:textId="4E8C8F99" w:rsidR="001869D7" w:rsidRPr="00AB65A4" w:rsidRDefault="00E36E5E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692577F3" w14:textId="79C6D039" w:rsidR="001869D7" w:rsidRPr="00AB65A4" w:rsidRDefault="001869D7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</w:t>
            </w:r>
            <w:r w:rsidR="00715E60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</w:t>
            </w: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choroby podczas terapii lekiem hormonalnym nowej generacji (możliwe wcześniejsze </w:t>
            </w:r>
            <w:r w:rsidR="00E46071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</w:t>
            </w: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tosowanie docetakselu lub kabazytakselu przed lub po leku hormonalnym nowej generacji, o ile stwierdzono nieskuteczność chemioterapii)</w:t>
            </w:r>
            <w:r w:rsidR="00B54A2E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B9E91F" w14:textId="016DB781" w:rsidR="00E36E5E" w:rsidRPr="00AB65A4" w:rsidRDefault="00E36E5E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obecność patogennej lub prawdopodobnie patogennej mutacji (germinalnej lub somatycznej) w genie </w:t>
            </w:r>
            <w:r w:rsidRPr="00AB65A4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AB65A4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</w:t>
            </w: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A93281C" w14:textId="37C5A54C" w:rsidR="00CA530A" w:rsidRPr="00AB65A4" w:rsidRDefault="00E36E5E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="00CA530A" w:rsidRPr="00AB65A4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z klirensem kreatyniny 31-50 ml/min należy zmniejszyć dawkę leku zgodnie z ChPL, nie wolno stosować leku, kiedy klirens wynosi 30 ml/min lub mniej;</w:t>
            </w:r>
          </w:p>
          <w:p w14:paraId="347D8CD2" w14:textId="77777777" w:rsidR="00E46071" w:rsidRPr="00AB65A4" w:rsidRDefault="00E46071" w:rsidP="00303C4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6634D26E" w14:textId="0F6FD973" w:rsidR="003561C9" w:rsidRPr="00AB65A4" w:rsidRDefault="00BE3676" w:rsidP="00303C40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Chorych </w:t>
            </w:r>
            <w:r w:rsidR="002B796C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</w:t>
            </w:r>
            <w:r w:rsidR="00D761A4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opornego na kastrację raka gruczołu krokowego</w:t>
            </w:r>
            <w:r w:rsidR="00D761A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2B796C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3561C9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dichlorkiem radu Ra-223</w:t>
            </w:r>
          </w:p>
          <w:p w14:paraId="7CFBED4D" w14:textId="077C4965" w:rsidR="00083719" w:rsidRPr="00AB65A4" w:rsidRDefault="00DF220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ng/dl lub mniej (tj. wynoszącego 1,7 nmol/l lub mniej), u chorych z progresją choroby ocenioną wg kryterium w pkt </w:t>
            </w:r>
            <w:r w:rsidR="00DC4A0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B3430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BE60149" w14:textId="7A201539" w:rsidR="007344A0" w:rsidRPr="00AB65A4" w:rsidRDefault="007F36A1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progresja choroby określona na podstawie trzech kolejnych wzrostów stężenia PSA, oznaczonego w co najmniej tygodniowych odstępach, z dwoma wzrostami o co najmniej 50% wobec wartości wyjściowej (nadir) i stężenie PSA &gt;2 ng/ml</w:t>
            </w:r>
            <w:r w:rsidR="0089004C" w:rsidRPr="00AB65A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C85214" w14:textId="019EAA75" w:rsidR="007344A0" w:rsidRPr="00AB65A4" w:rsidRDefault="00B54A2E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</w:t>
            </w:r>
            <w:r w:rsidR="00DF220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ub </w:t>
            </w:r>
          </w:p>
          <w:p w14:paraId="5E7F10CD" w14:textId="0E32AA9F" w:rsidR="00DF2206" w:rsidRPr="00AB65A4" w:rsidRDefault="00B55C73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zmian </w:t>
            </w:r>
            <w:r w:rsidR="006F6F42" w:rsidRPr="00AB65A4">
              <w:rPr>
                <w:rFonts w:ascii="Times New Roman" w:hAnsi="Times New Roman" w:cs="Times New Roman"/>
                <w:sz w:val="20"/>
                <w:szCs w:val="20"/>
              </w:rPr>
              <w:t>w układzie kostnym w badaniach obrazowych</w:t>
            </w:r>
            <w:r w:rsidR="0008371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2541F70" w14:textId="1224D8CD" w:rsidR="001869D7" w:rsidRPr="00AB65A4" w:rsidRDefault="001869D7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bookmarkStart w:id="2" w:name="_Hlk114037014"/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po uprzednim zastosowaniu co najmniej dwóch linii terapii systemowej z powodu mCRPC (innych niż </w:t>
            </w:r>
            <w:r w:rsidR="00715E6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deprywacja androgenowa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lub u chorych, u których niemożliwe jest (udokumentowane medycznie)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zastosowanie </w:t>
            </w:r>
            <w:r w:rsidR="00715E6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dwóch linii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systemowego leczenia przyczynowego (nowoczesna hormonoterapia lub chemioterapia).</w:t>
            </w:r>
            <w:r w:rsidR="00303C4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01AF9990" w14:textId="230C1A27" w:rsidR="001869D7" w:rsidRPr="00AB65A4" w:rsidRDefault="00DF220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 w:bidi="pl-PL"/>
              </w:rPr>
              <w:t>potwierdzenie w badaniu scyntygraficznym obecności co najmniej</w:t>
            </w:r>
            <w:r w:rsidR="00327C6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 w:bidi="pl-PL"/>
              </w:rPr>
              <w:t xml:space="preserve"> 6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 w:bidi="pl-PL"/>
              </w:rPr>
              <w:t xml:space="preserve"> przerzutów do kości</w:t>
            </w:r>
            <w:r w:rsidR="0067048F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 w:bidi="pl-PL"/>
              </w:rPr>
              <w:t xml:space="preserve"> (w szczególnych przypadkach lekarz może podjąć decyzję o włączeniu tej terapii u pacjenta z liczbą przerzutów 4-5, jeżeli cechy choroby przemawiają za dużą szansą pozytywnego działania tej terapii po ocenie stanu kości (scyntygrafią, pomiarem gęstości mineralnej kości) oraz ocenie ryzyka złamań;</w:t>
            </w:r>
          </w:p>
          <w:bookmarkEnd w:id="2"/>
          <w:p w14:paraId="5835385B" w14:textId="45323FF2" w:rsidR="00DF2206" w:rsidRPr="00AB65A4" w:rsidRDefault="00374294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nieobecność przerzutów do narządów wewnętrznych z wyjątkiem przerzutów do węzłów chłonnych o wymiarze mniejszym lub równym 3 cm w osi krótkiej</w:t>
            </w:r>
            <w:r w:rsidR="00083719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28A7B209" w14:textId="29879593" w:rsidR="00357144" w:rsidRPr="00AB65A4" w:rsidRDefault="00357144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 chorych otrzymujących wcześniej chemioterapię lub olaparyb ustąpienie klinicznie istotnych działań niepożądanych stanowiących przeciwskazanie do terapii dichlorkiem radu-223;</w:t>
            </w:r>
          </w:p>
          <w:p w14:paraId="3D102774" w14:textId="25722FFD" w:rsidR="00DF2206" w:rsidRPr="00AB65A4" w:rsidRDefault="00DF220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bóle kostne wymagające:</w:t>
            </w:r>
          </w:p>
          <w:p w14:paraId="47931970" w14:textId="77777777" w:rsidR="00AA5B79" w:rsidRPr="00AB65A4" w:rsidRDefault="00DF2206" w:rsidP="00303C40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stałego stosowania leków przeciwbólowych, w sposób zgodny z zasadami postępowania w leczeniu bólu pochodzenia nowotworowego</w:t>
            </w:r>
            <w:r w:rsidR="0008371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6B12E9B7" w14:textId="0E9A1137" w:rsidR="00DF2206" w:rsidRPr="00AB65A4" w:rsidRDefault="00DF2206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1FC188A1" w14:textId="603951F2" w:rsidR="00B34309" w:rsidRPr="00AB65A4" w:rsidRDefault="00DF2206" w:rsidP="00303C40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paliatywnej radioterapii, która została przeprowadzona w okresie nie więcej niż 12 tygodni przed zakwalifikowaniem do leczenia dichlorkiem radu-223</w:t>
            </w:r>
            <w:r w:rsidR="0089004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EA8B76B" w14:textId="3FE11AEE" w:rsidR="00DF2206" w:rsidRPr="00AB65A4" w:rsidRDefault="00DF2206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 leczenia z </w:t>
            </w:r>
            <w:r w:rsidR="0061756B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wykorzystaniem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strontu-89, samaru-153, renu-186 lub renu-188 w okresie 24 tygodni przed rozpoczęciem leczenia dichlorkiem radu-223</w:t>
            </w:r>
            <w:r w:rsidR="00B3430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BDF3FD5" w14:textId="6981D588" w:rsidR="007344A0" w:rsidRPr="00AB65A4" w:rsidRDefault="006D7E70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512C4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stosowanie </w:t>
            </w:r>
            <w:r w:rsidR="005C691B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jednoczasowo </w:t>
            </w:r>
            <w:r w:rsidR="00512C4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innego systemowego leczenia przeciwnowotworowego z wyjątkiem farmakologicznego leczenia kastracyjnego </w:t>
            </w:r>
            <w:r w:rsidR="0068030E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(analogiem</w:t>
            </w:r>
            <w:r w:rsidR="00035F1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  <w:r w:rsidR="0068030E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antagonistą LHRH); </w:t>
            </w:r>
          </w:p>
          <w:p w14:paraId="751573F8" w14:textId="7C1600C6" w:rsidR="007344A0" w:rsidRPr="00AB65A4" w:rsidRDefault="005C691B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nieobecność 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rdzenia kręgowego potwierdzon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ej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badaniem</w:t>
            </w:r>
            <w:r w:rsidR="007344A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klinicznym lub badaniem rezonansu magnetycznego, wymagając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ej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zaopatrzenia miejscowego lub radioterapii (leczenie może zostać podjęte po zakończeniu </w:t>
            </w:r>
            <w:r w:rsidR="0066373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skutecznego 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 miejscowego</w:t>
            </w:r>
            <w:r w:rsidR="00BE367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6FF7D811" w14:textId="43C11720" w:rsidR="00856B08" w:rsidRPr="00AB65A4" w:rsidRDefault="005C691B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nie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obecność </w:t>
            </w:r>
            <w:r w:rsidR="001844B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jakiegokolwiek</w:t>
            </w:r>
            <w:r w:rsidR="00856B0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następujących schorzeń współistniejących:</w:t>
            </w:r>
          </w:p>
          <w:p w14:paraId="1228FD30" w14:textId="77777777" w:rsidR="00856B08" w:rsidRPr="00AB65A4" w:rsidRDefault="00856B08" w:rsidP="00303C40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niekontrolowana infekcja,</w:t>
            </w:r>
          </w:p>
          <w:p w14:paraId="4985DB66" w14:textId="77777777" w:rsidR="00856B08" w:rsidRPr="00AB65A4" w:rsidRDefault="00856B08" w:rsidP="00303C40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niewydolność serca w stopniu III lub IV NYHA, </w:t>
            </w:r>
          </w:p>
          <w:p w14:paraId="2F3EC467" w14:textId="77777777" w:rsidR="00856B08" w:rsidRPr="00AB65A4" w:rsidRDefault="00856B08" w:rsidP="00303C40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choroba Crohna lub wrzodziejące zapalenie jelita grubego, </w:t>
            </w:r>
          </w:p>
          <w:p w14:paraId="61516E25" w14:textId="61698038" w:rsidR="00CA3354" w:rsidRPr="00AB65A4" w:rsidRDefault="00251F3F" w:rsidP="00303C40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zespół mielodysplastyczny</w:t>
            </w:r>
            <w:r w:rsidR="00C226E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070FAAA0" w14:textId="2768D21E" w:rsidR="00C226E8" w:rsidRPr="00AB65A4" w:rsidRDefault="00C226E8" w:rsidP="00303C40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problemy z utrzymaniem stolca;</w:t>
            </w:r>
          </w:p>
          <w:p w14:paraId="047F3045" w14:textId="77777777" w:rsidR="00D658D8" w:rsidRPr="00AB65A4" w:rsidRDefault="00D658D8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68547E" w14:textId="38B3959D" w:rsidR="00904B9D" w:rsidRPr="00AB65A4" w:rsidRDefault="00904B9D" w:rsidP="00303C4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 leczenia w programie</w:t>
            </w:r>
          </w:p>
          <w:p w14:paraId="6C68A234" w14:textId="2216FBE2" w:rsidR="007D7474" w:rsidRPr="00AB65A4" w:rsidRDefault="00D328D0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</w:t>
            </w:r>
            <w:r w:rsidR="005A6322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adku </w:t>
            </w:r>
            <w:r w:rsidR="00083719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CD72CE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apalutamid</w:t>
            </w:r>
            <w:r w:rsidR="005A6322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albo darolutamid</w:t>
            </w:r>
            <w:r w:rsidR="005A6322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albo enzalutamid</w:t>
            </w:r>
            <w:r w:rsidR="005A6322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D62D3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albo kabazytakselu</w:t>
            </w:r>
            <w:r w:rsidR="00CD72CE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762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albo olaparybu </w:t>
            </w:r>
            <w:bookmarkStart w:id="3" w:name="_Hlk125722377"/>
            <w:r w:rsidR="001B68C0" w:rsidRPr="00AB65A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D62D3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8C0" w:rsidRPr="00AB65A4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</w:t>
            </w:r>
            <w:r w:rsidR="0089004C"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bookmarkEnd w:id="3"/>
          </w:p>
          <w:p w14:paraId="4532EE69" w14:textId="1E6B70A7" w:rsidR="001B68C0" w:rsidRPr="00AB65A4" w:rsidRDefault="00D328D0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przypadku </w:t>
            </w:r>
            <w:r w:rsidR="001B68C0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zastosowania </w:t>
            </w:r>
            <w:r w:rsidR="007D7474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dichlorku radu Ra-223 </w:t>
            </w:r>
            <w:r w:rsidR="007D747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leczenie w programie obejmuje 6 podań leku wykonywanych w odstępach 4 tygodni, chyba że w oparciu o kryteria zakończenia udziału w programie, określone w pkt 3 zostanie podjęta decyzja o wyłączeniu </w:t>
            </w:r>
            <w:r w:rsidR="008024FA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świadczeniobiorcy </w:t>
            </w:r>
            <w:r w:rsidR="007D7474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 programu</w:t>
            </w:r>
            <w:r w:rsidR="001B68C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ACD893E" w14:textId="77777777" w:rsidR="00D658D8" w:rsidRPr="00AB65A4" w:rsidRDefault="00D658D8" w:rsidP="00303C4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ACBC5" w14:textId="7B6499AC" w:rsidR="003A6A07" w:rsidRPr="00AB65A4" w:rsidRDefault="003A6A07" w:rsidP="00303C4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</w:t>
            </w:r>
            <w:r w:rsidR="006B377A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łączenia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z programu</w:t>
            </w:r>
          </w:p>
          <w:p w14:paraId="377B7C10" w14:textId="600505AB" w:rsidR="00D5612B" w:rsidRPr="00AB65A4" w:rsidRDefault="00D5612B" w:rsidP="00A40059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w trakcie stosowania leku, definiowana według następujących kryteriów: </w:t>
            </w:r>
          </w:p>
          <w:p w14:paraId="419596B8" w14:textId="4E80AAA8" w:rsidR="002B3AD8" w:rsidRPr="00AB65A4" w:rsidRDefault="002B3AD8" w:rsidP="00A40059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progresji choroby określonej na podstawie trzech kolejnych wzrostów stężenia PSA, oznaczonego w co najmniej tygodniowych odstępach, z dwoma wzrostami o co najmniej 50% wobec najniższej wartości osiągniętej w trakcie terapii (nadir) i stężenie PSA &gt;2 ng/ml, chyba że lekarz prowadzący uzna, że leczenie przynosi udokumentowaną korzyść kliniczną i nieuzasadnione jest (albo niemożliwe) zastosowanie terapii kolejnej linii,</w:t>
            </w:r>
          </w:p>
          <w:p w14:paraId="72B25E50" w14:textId="06A34B8A" w:rsidR="0073533D" w:rsidRPr="00AB65A4" w:rsidRDefault="0073533D" w:rsidP="002B3AD8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681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D91EFF" w14:textId="1CE9C736" w:rsidR="0073533D" w:rsidRPr="00AB65A4" w:rsidRDefault="00541E1B" w:rsidP="00A40059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progresji choroby ustalonej na podstawie aktualnej klasyfikacji RECIST (dla zmian w tkankach miękkich) lub PCWG (dla zmian w układzie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kostnym);</w:t>
            </w:r>
          </w:p>
          <w:p w14:paraId="3D2114A2" w14:textId="70EA977B" w:rsidR="00437501" w:rsidRPr="00AB65A4" w:rsidRDefault="00B874E8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utrzymujące się </w:t>
            </w:r>
            <w:r w:rsidR="00246D05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pogorszenie </w:t>
            </w:r>
            <w:r w:rsidR="001578E7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stanu </w:t>
            </w:r>
            <w:r w:rsidR="00246D05" w:rsidRPr="00AB65A4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DC1BBE" w:rsidRPr="00AB65A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C226C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A65A29" w14:textId="0C2B63C3" w:rsidR="00541E1B" w:rsidRPr="00AB65A4" w:rsidRDefault="00DC1BBE" w:rsidP="00303C40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do stopnia 2-</w:t>
            </w:r>
            <w:r w:rsidR="0061756B" w:rsidRPr="00AB65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65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41E1B" w:rsidRPr="00AB65A4">
              <w:rPr>
                <w:rFonts w:ascii="Times New Roman" w:hAnsi="Times New Roman" w:cs="Times New Roman"/>
                <w:sz w:val="20"/>
                <w:szCs w:val="20"/>
              </w:rPr>
              <w:t>według ECOG w przypadku leczenia apalutamidem (nmCRPC), darolutamidem, enzalutamidem (nmCRPC albo mCRPC przed podaniem docetakselu),</w:t>
            </w:r>
          </w:p>
          <w:p w14:paraId="5FA26536" w14:textId="4C354FA6" w:rsidR="00DC1BBE" w:rsidRPr="00AB65A4" w:rsidRDefault="005A6FC7" w:rsidP="00303C4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D6031D8" w14:textId="0ECA910D" w:rsidR="00B2401D" w:rsidRPr="00AB65A4" w:rsidRDefault="00DC1BBE" w:rsidP="00303C40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do stopnia</w:t>
            </w:r>
            <w:r w:rsidRPr="00AB65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3-4 </w:t>
            </w:r>
            <w:r w:rsidR="00B2401D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r w:rsidR="002C624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apalutamidem (mHSPC), </w:t>
            </w:r>
            <w:r w:rsidR="00B2401D" w:rsidRPr="00AB65A4">
              <w:rPr>
                <w:rFonts w:ascii="Times New Roman" w:hAnsi="Times New Roman" w:cs="Times New Roman"/>
                <w:sz w:val="20"/>
                <w:szCs w:val="20"/>
              </w:rPr>
              <w:t>enzalutamidem (mCRPC po podaniu docetakselu) kabazytakselem, olaparybem, dichlorkiem radu Ra-223</w:t>
            </w:r>
            <w:r w:rsidR="002C6246"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B0045F" w14:textId="5B85BD04" w:rsidR="00C50CDC" w:rsidRPr="00AB65A4" w:rsidRDefault="005E2726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którykolwiek ze stosowanych leków lub </w:t>
            </w:r>
            <w:r w:rsidR="00877F06" w:rsidRPr="00AB65A4">
              <w:rPr>
                <w:rFonts w:ascii="Times New Roman" w:hAnsi="Times New Roman" w:cs="Times New Roman"/>
                <w:sz w:val="20"/>
                <w:szCs w:val="20"/>
              </w:rPr>
              <w:t>substancje pomocnicze</w:t>
            </w:r>
            <w:r w:rsidR="00445C80"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17DD7" w14:textId="64025F02" w:rsidR="00F05285" w:rsidRPr="00AB65A4" w:rsidRDefault="006252F7" w:rsidP="00303C40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toksyczności wymagającej zakończenia leczenia </w:t>
            </w:r>
            <w:r w:rsidR="00F05285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opinii lekarza prowadzącego lub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 z aktualnie obowiązującą</w:t>
            </w:r>
            <w:r w:rsidR="00F05285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ChPL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A3B8342" w14:textId="1A8F389C" w:rsidR="00C50CDC" w:rsidRPr="00AB65A4" w:rsidRDefault="00C50CDC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4DD81EBB" w14:textId="0A0A8933" w:rsidR="006252F7" w:rsidRPr="00AB65A4" w:rsidRDefault="006252F7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klinicznie istotne pogorszenie jakości życia w trakcie stosowania leku;</w:t>
            </w:r>
          </w:p>
          <w:p w14:paraId="2241C78C" w14:textId="0926191F" w:rsidR="005F5625" w:rsidRPr="00AB65A4" w:rsidRDefault="00294C06" w:rsidP="00303C40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rozpoczęcie nowego leczenia z zastosowaniem innego preparatu radioizotopowego, z wyjątkiem zastosowania radioterapii paliatywnej na pojedyncze ogniska przerzutowe </w:t>
            </w:r>
            <w:r w:rsidR="002F5B4E" w:rsidRPr="00AB65A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</w:t>
            </w:r>
            <w:r w:rsidR="002F5B4E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nia dichlorkiem radu Ra-223)</w:t>
            </w:r>
            <w:r w:rsidR="00154E2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92166CE" w14:textId="08BD57B8" w:rsidR="00A40059" w:rsidRPr="00AB65A4" w:rsidRDefault="00A40059" w:rsidP="00A40059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E27438" w:rsidRPr="00AB65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DF2164" w14:textId="77777777" w:rsidR="00FC2140" w:rsidRPr="00AB65A4" w:rsidRDefault="00FC2140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F57230" w14:textId="5DCCA2BF" w:rsidR="007C23DB" w:rsidRPr="00AB65A4" w:rsidRDefault="004506CC" w:rsidP="00A40059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kwalifikowani są również pacjenci, którzy byli leczeni substancjami czynnymi finansowanymi w programie lekowym w ramach innego sposobu finansowania terapii, w celu zapewnienia kontynuacji leczenia tym samym lekiem pod </w:t>
            </w:r>
            <w:r w:rsidR="00303C40" w:rsidRPr="00AB65A4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że w chwili rozpoczęcia leczenia spełniali kryteria kwalifikacji do tego programu lekowego.</w:t>
            </w:r>
          </w:p>
          <w:p w14:paraId="220A5945" w14:textId="77777777" w:rsidR="004506CC" w:rsidRPr="00AB65A4" w:rsidRDefault="004506CC" w:rsidP="00303C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4C4CF" w14:textId="793ADB6D" w:rsidR="007C23DB" w:rsidRPr="00AB65A4" w:rsidRDefault="007C23DB" w:rsidP="00303C40">
            <w:pPr>
              <w:pStyle w:val="Akapitzlist"/>
              <w:spacing w:after="60" w:line="276" w:lineRule="auto"/>
              <w:ind w:left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5FFC" w14:textId="77777777" w:rsidR="00B54A2E" w:rsidRPr="00AB65A4" w:rsidRDefault="00B54A2E" w:rsidP="00303C4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2965BBA5" w14:textId="0BE3AC08" w:rsidR="0009679D" w:rsidRPr="00AB65A4" w:rsidRDefault="0009679D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Dopuszczalne jest zmniejszenie wymienionych poniżej dawek zgodnie z Charakterystykami Produktu Leczniczego (ChPL) poszczególnych leków.</w:t>
            </w:r>
          </w:p>
          <w:p w14:paraId="28B18784" w14:textId="4159B446" w:rsidR="007F72A0" w:rsidRPr="00AB65A4" w:rsidRDefault="007F72A0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U chorych, którzy nie byli uprzednio poddani orchidektomii należy utrzymać supresję androgenową z zastosowaniem agonistów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lub antagonistów</w:t>
            </w:r>
            <w:r w:rsidRPr="00AB65A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LHRH</w:t>
            </w:r>
            <w:r w:rsidR="003B2D8A" w:rsidRPr="00AB65A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.</w:t>
            </w:r>
            <w:r w:rsidRPr="00AB65A4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2967A5BC" w14:textId="2D482BD8" w:rsidR="00961AC7" w:rsidRPr="00AB65A4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</w:t>
            </w:r>
            <w:r w:rsidR="00F53DA3" w:rsidRPr="00AB65A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palutamid</w:t>
            </w:r>
            <w:r w:rsidR="00961AC7" w:rsidRPr="00AB65A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:</w:t>
            </w:r>
            <w:r w:rsidR="00303C40" w:rsidRPr="00AB65A4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C74732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alecana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EE4089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240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(cztery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60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i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jest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stosowana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jednorazowo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co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godziny.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Lek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można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stosować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pokarmem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lub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bez</w:t>
            </w:r>
            <w:r w:rsidR="00A862A6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AB65A4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pokarmu.</w:t>
            </w:r>
          </w:p>
          <w:p w14:paraId="18F1E9C6" w14:textId="1A980AE0" w:rsidR="007F72A0" w:rsidRPr="00AB65A4" w:rsidRDefault="007D36CB" w:rsidP="00303C40">
            <w:pPr>
              <w:pStyle w:val="Default"/>
              <w:numPr>
                <w:ilvl w:val="3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B65A4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d</w:t>
            </w:r>
            <w:r w:rsidR="00961AC7" w:rsidRPr="00AB65A4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arolutamid:</w:t>
            </w:r>
            <w:r w:rsidR="00303C40" w:rsidRPr="00AB65A4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C74732" w:rsidRPr="00AB65A4">
              <w:rPr>
                <w:rFonts w:eastAsia="SimSun"/>
                <w:sz w:val="20"/>
                <w:szCs w:val="20"/>
                <w:lang w:eastAsia="zh-CN"/>
              </w:rPr>
              <w:t>z</w:t>
            </w:r>
            <w:r w:rsidR="00961AC7" w:rsidRPr="00AB65A4">
              <w:rPr>
                <w:rFonts w:eastAsia="SimSun"/>
                <w:sz w:val="20"/>
                <w:szCs w:val="20"/>
                <w:lang w:eastAsia="zh-CN"/>
              </w:rPr>
              <w:t>alecana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6C666C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600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mg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(dwie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po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300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przyjmowane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dwa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razy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na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dobę,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co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stanowi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równoważność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całkowitej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dawki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dobowej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wynoszącej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1200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>mg.</w:t>
            </w:r>
            <w:r w:rsidR="00A862A6" w:rsidRPr="00AB65A4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91DB7" w:rsidRPr="00AB65A4">
              <w:rPr>
                <w:sz w:val="20"/>
                <w:szCs w:val="20"/>
              </w:rPr>
              <w:t>Lek</w:t>
            </w:r>
            <w:r w:rsidR="00A862A6" w:rsidRPr="00AB65A4">
              <w:rPr>
                <w:sz w:val="20"/>
                <w:szCs w:val="20"/>
              </w:rPr>
              <w:t xml:space="preserve"> </w:t>
            </w:r>
            <w:r w:rsidR="00991DB7" w:rsidRPr="00AB65A4">
              <w:rPr>
                <w:sz w:val="20"/>
                <w:szCs w:val="20"/>
              </w:rPr>
              <w:t>należy</w:t>
            </w:r>
            <w:r w:rsidR="00A862A6" w:rsidRPr="00AB65A4">
              <w:rPr>
                <w:sz w:val="20"/>
                <w:szCs w:val="20"/>
              </w:rPr>
              <w:t xml:space="preserve"> </w:t>
            </w:r>
            <w:r w:rsidR="00991DB7" w:rsidRPr="00AB65A4">
              <w:rPr>
                <w:sz w:val="20"/>
                <w:szCs w:val="20"/>
              </w:rPr>
              <w:t>połykać</w:t>
            </w:r>
            <w:r w:rsidR="00A862A6" w:rsidRPr="00AB65A4">
              <w:rPr>
                <w:sz w:val="20"/>
                <w:szCs w:val="20"/>
              </w:rPr>
              <w:t xml:space="preserve"> </w:t>
            </w:r>
            <w:r w:rsidR="00991DB7" w:rsidRPr="00AB65A4">
              <w:rPr>
                <w:sz w:val="20"/>
                <w:szCs w:val="20"/>
              </w:rPr>
              <w:t>w</w:t>
            </w:r>
            <w:r w:rsidR="00A862A6" w:rsidRPr="00AB65A4">
              <w:rPr>
                <w:sz w:val="20"/>
                <w:szCs w:val="20"/>
              </w:rPr>
              <w:t xml:space="preserve"> </w:t>
            </w:r>
            <w:r w:rsidR="00991DB7" w:rsidRPr="00AB65A4">
              <w:rPr>
                <w:sz w:val="20"/>
                <w:szCs w:val="20"/>
              </w:rPr>
              <w:t>całości</w:t>
            </w:r>
            <w:r w:rsidR="00A862A6" w:rsidRPr="00AB65A4">
              <w:rPr>
                <w:sz w:val="20"/>
                <w:szCs w:val="20"/>
              </w:rPr>
              <w:t xml:space="preserve"> </w:t>
            </w:r>
            <w:r w:rsidR="00991DB7" w:rsidRPr="00AB65A4">
              <w:rPr>
                <w:sz w:val="20"/>
                <w:szCs w:val="20"/>
              </w:rPr>
              <w:t>z</w:t>
            </w:r>
            <w:r w:rsidR="00A862A6" w:rsidRPr="00AB65A4">
              <w:rPr>
                <w:sz w:val="20"/>
                <w:szCs w:val="20"/>
              </w:rPr>
              <w:t xml:space="preserve"> </w:t>
            </w:r>
            <w:r w:rsidR="00991DB7" w:rsidRPr="00AB65A4">
              <w:rPr>
                <w:sz w:val="20"/>
                <w:szCs w:val="20"/>
              </w:rPr>
              <w:t>pokarmem.</w:t>
            </w:r>
          </w:p>
          <w:p w14:paraId="1C56CEB5" w14:textId="7117FC61" w:rsidR="00447C42" w:rsidRPr="00AB65A4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</w:t>
            </w:r>
            <w:r w:rsidR="00961AC7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nzalutamid</w:t>
            </w:r>
            <w:r w:rsidR="00BF356A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="00303C40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74732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alecana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dawka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666C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wynosi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(cztery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kapsułki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tabletki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mg)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jednorazowej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dawce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>dobowej.</w:t>
            </w:r>
            <w:r w:rsidR="00A862A6" w:rsidRPr="00AB65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862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62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A862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62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pokarmem</w:t>
            </w:r>
            <w:r w:rsidR="00A862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62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AB65A4">
              <w:rPr>
                <w:rFonts w:ascii="Times New Roman" w:hAnsi="Times New Roman" w:cs="Times New Roman"/>
                <w:sz w:val="20"/>
                <w:szCs w:val="20"/>
              </w:rPr>
              <w:t>pokarmu.</w:t>
            </w:r>
          </w:p>
          <w:p w14:paraId="6862CBF5" w14:textId="77777777" w:rsidR="00FC0975" w:rsidRPr="00AB65A4" w:rsidRDefault="00FC0975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Leków hormonalnych nowej generacji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nie należy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stosować łącznie z docetakselem ani innymi antyandrogenami lub inhibitorami CYP17.</w:t>
            </w:r>
          </w:p>
          <w:p w14:paraId="623EC955" w14:textId="57DA4C48" w:rsidR="00FD40EE" w:rsidRPr="00AB65A4" w:rsidRDefault="00FC0975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W przypadku wystąpienia zdarzeń losowych albo istotnych klinicznie lub ciężkich działań niepożądanych można opóźnić podanie kolejnej dawki leku hormonalnego nowej generacji, jednak nie dłużej niż o 8 tygodni.</w:t>
            </w:r>
          </w:p>
          <w:p w14:paraId="24B12C25" w14:textId="17B2A9CA" w:rsidR="00AF079D" w:rsidRPr="00AB65A4" w:rsidRDefault="00FC0975" w:rsidP="00303C40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1605D7"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laparyb:</w:t>
            </w:r>
            <w:r w:rsidR="00303C40" w:rsidRPr="00AB65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74732" w:rsidRPr="00AB65A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062D8" w:rsidRPr="00AB65A4">
              <w:rPr>
                <w:rFonts w:ascii="Times New Roman" w:hAnsi="Times New Roman" w:cs="Times New Roman"/>
                <w:sz w:val="20"/>
                <w:szCs w:val="20"/>
              </w:rPr>
              <w:t>alecana dawka wynosi 300 mg</w:t>
            </w:r>
            <w:r w:rsidR="00303C40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2D8" w:rsidRPr="00AB65A4">
              <w:rPr>
                <w:rFonts w:ascii="Times New Roman" w:hAnsi="Times New Roman" w:cs="Times New Roman"/>
                <w:sz w:val="20"/>
                <w:szCs w:val="20"/>
              </w:rPr>
              <w:t>(dwie tabletki po 150 mg) dwa razy na dobę, co odpowiada całkowitej dawce dobowej 600 mg. Lek można stosować z pokarmem lub bez pokarmu.</w:t>
            </w:r>
            <w:r w:rsidR="00AF079D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Lek </w:t>
            </w:r>
            <w:r w:rsidR="00C90AA6" w:rsidRPr="00AB65A4">
              <w:rPr>
                <w:rFonts w:ascii="Times New Roman" w:hAnsi="Times New Roman" w:cs="Times New Roman"/>
                <w:sz w:val="20"/>
                <w:szCs w:val="20"/>
              </w:rPr>
              <w:t>stosuje się</w:t>
            </w:r>
            <w:r w:rsidR="00AF079D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w monoterapii (</w:t>
            </w:r>
            <w:proofErr w:type="gramStart"/>
            <w:r w:rsidR="00C90AA6" w:rsidRPr="00AB65A4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proofErr w:type="gramEnd"/>
            <w:r w:rsidR="00AF079D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AA6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leczenia skojarzonego z </w:t>
            </w:r>
            <w:r w:rsidR="00AF079D" w:rsidRPr="00AB65A4">
              <w:rPr>
                <w:rFonts w:ascii="Times New Roman" w:hAnsi="Times New Roman" w:cs="Times New Roman"/>
                <w:sz w:val="20"/>
                <w:szCs w:val="20"/>
              </w:rPr>
              <w:t>analogiem lub antagonistą LHRH).</w:t>
            </w:r>
          </w:p>
          <w:p w14:paraId="5E671409" w14:textId="3C9F785E" w:rsidR="00F53DA3" w:rsidRPr="00AB65A4" w:rsidRDefault="001605D7" w:rsidP="00303C4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W przypadku wystąpienia zdarzeń losowych albo istotnych klinicznie lub ciężkich działań niepożądanych można opóźnić podanie kolejnej dawki leku, jednak nie dłużej niż o 8 tygodni.</w:t>
            </w:r>
          </w:p>
          <w:p w14:paraId="59E1CAB0" w14:textId="15EC012B" w:rsidR="003B6E3F" w:rsidRPr="00AB65A4" w:rsidRDefault="00FC0975" w:rsidP="00303C40">
            <w:pPr>
              <w:pStyle w:val="Akapitzlist"/>
              <w:widowControl w:val="0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</w:t>
            </w:r>
            <w:r w:rsidR="00491560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ichlor</w:t>
            </w:r>
            <w:r w:rsidR="00ED7E7B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ek</w:t>
            </w:r>
            <w:r w:rsidR="00A862A6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491560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radu</w:t>
            </w:r>
            <w:r w:rsidR="00A862A6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491560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Ra-223</w:t>
            </w:r>
            <w:r w:rsidR="00ED7E7B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="00303C40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74732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</w:t>
            </w:r>
            <w:r w:rsidR="003B6E3F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ek jest podawany we wstrzyknięciach dożylnych w dawce</w:t>
            </w:r>
            <w:r w:rsidR="003B6E3F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55 kBq na kg masy ciała, podawane w odstępach 4-tygodniowych w 6 wstrzyknięciach. </w:t>
            </w:r>
          </w:p>
          <w:p w14:paraId="36BE03AC" w14:textId="44E680F9" w:rsidR="003E058D" w:rsidRPr="00AB65A4" w:rsidRDefault="00491560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być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modyfikowana.</w:t>
            </w:r>
          </w:p>
          <w:p w14:paraId="59EEB8FB" w14:textId="6805B91C" w:rsidR="001869D7" w:rsidRPr="00AB65A4" w:rsidRDefault="001869D7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stosowania wcześniej docetakselu </w:t>
            </w:r>
            <w:r w:rsidR="005D71FF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kabazytakselu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czas od zakończenia terapii powinien wynosić co najmniej 4 tygodnie, a gdy pacjent wcześniej przyjmował octan abirateronu, należy zapewnić minimum 5 dniowy odstęp od rozpoczęcia leczenia dichlorkiem radu-223;</w:t>
            </w:r>
          </w:p>
          <w:p w14:paraId="329FB334" w14:textId="2A8854E1" w:rsidR="003E058D" w:rsidRPr="00AB65A4" w:rsidRDefault="001605D7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 przypadku wystąpienia zdarzeń losowych albo istotnych klinicznie lub ciężkich działań niepożądanych można opóźnić podanie kolejnej dawki leku, jednak nie dłużej </w:t>
            </w:r>
            <w:r w:rsidR="0049156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04B0B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 </w:t>
            </w:r>
            <w:r w:rsidR="0049156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tygodnie.</w:t>
            </w:r>
          </w:p>
          <w:p w14:paraId="35F71382" w14:textId="77777777" w:rsidR="002B71D5" w:rsidRPr="00AB65A4" w:rsidRDefault="00491560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Warunkiem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przypadku,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którym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mowa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powyżej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jest:</w:t>
            </w:r>
          </w:p>
          <w:p w14:paraId="3460040E" w14:textId="4BA938DB" w:rsidR="00491560" w:rsidRPr="00AB65A4" w:rsidRDefault="00491560" w:rsidP="00303C40">
            <w:pPr>
              <w:pStyle w:val="Akapitzlist"/>
              <w:widowControl w:val="0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hematotoksyczności: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działanie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powinno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zmniejszyć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</w:t>
            </w:r>
            <w:r w:rsidR="008150F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62886D11" w14:textId="2BC381C7" w:rsidR="00491560" w:rsidRPr="00AB65A4" w:rsidRDefault="00491560" w:rsidP="00303C40">
            <w:pPr>
              <w:numPr>
                <w:ilvl w:val="4"/>
                <w:numId w:val="3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toksyczności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innych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hematologiczne: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działanie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powinno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zmniejszyć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działań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żołądkowo-jelitowych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pozostałych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działań</w:t>
            </w:r>
            <w:r w:rsidR="008150F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26CD192B" w14:textId="6B0E377F" w:rsidR="00491560" w:rsidRPr="00AB65A4" w:rsidRDefault="00491560" w:rsidP="00303C40">
            <w:pPr>
              <w:numPr>
                <w:ilvl w:val="4"/>
                <w:numId w:val="3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kompresji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rdzenia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kręgowego,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której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dojdzie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trakcie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leczenia,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być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kontynuowane,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jeżeli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zaopatrzenie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spowoduje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opóźnienia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więcej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tygodnie</w:t>
            </w:r>
            <w:r w:rsidR="008150F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74F6E66A" w14:textId="0E05621A" w:rsidR="00954FC9" w:rsidRPr="00AB65A4" w:rsidRDefault="00491560" w:rsidP="00303C40">
            <w:pPr>
              <w:numPr>
                <w:ilvl w:val="4"/>
                <w:numId w:val="3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złamania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kostnego,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którego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dojdzie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trakcie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leczenia,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powinno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odbyć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okresie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dokonaniu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złamania.</w:t>
            </w:r>
          </w:p>
          <w:p w14:paraId="295E72CB" w14:textId="63B8C565" w:rsidR="007F72A0" w:rsidRPr="00AB65A4" w:rsidRDefault="00FC0975" w:rsidP="00303C40">
            <w:pPr>
              <w:pStyle w:val="Akapitzlist"/>
              <w:numPr>
                <w:ilvl w:val="3"/>
                <w:numId w:val="3"/>
              </w:numPr>
              <w:autoSpaceDN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="00954FC9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abazytaksel</w:t>
            </w:r>
            <w:r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:</w:t>
            </w:r>
            <w:r w:rsidR="00303C40" w:rsidRPr="00AB65A4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6C666C" w:rsidRPr="00AB65A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72A0" w:rsidRPr="00AB65A4">
              <w:rPr>
                <w:rFonts w:ascii="Times New Roman" w:hAnsi="Times New Roman" w:cs="Times New Roman"/>
                <w:sz w:val="20"/>
                <w:szCs w:val="20"/>
              </w:rPr>
              <w:t>alecana dawka wynosi 25 mg/m</w:t>
            </w:r>
            <w:r w:rsidR="007F72A0" w:rsidRPr="00AB65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7F72A0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pc., </w:t>
            </w:r>
            <w:r w:rsidR="008C2704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podawana w 1-godzinnej infuzji dożylnej co 3 tygodnie, w skojarzeniu z doustnym prednizonem lub prednizolonem w </w:t>
            </w:r>
            <w:r w:rsidR="008C2704" w:rsidRPr="00AB65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dawce 10 mg, podawanym codziennie podczas leczenia.</w:t>
            </w:r>
          </w:p>
          <w:p w14:paraId="52D5DE38" w14:textId="37731B30" w:rsidR="001869D7" w:rsidRPr="00AB65A4" w:rsidRDefault="001869D7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eastAsia="zh-CN"/>
              </w:rPr>
              <w:t>Czas od zakończenia chemioterapii z udziałem docetakselu powinien wynosić co najmniej 4 tygodnie;</w:t>
            </w:r>
          </w:p>
          <w:p w14:paraId="67545EB0" w14:textId="74826FA9" w:rsidR="009062D8" w:rsidRPr="00AB65A4" w:rsidRDefault="009062D8" w:rsidP="00303C40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AB65A4">
              <w:rPr>
                <w:sz w:val="20"/>
                <w:szCs w:val="20"/>
                <w:lang w:val="pl-PL"/>
              </w:rPr>
              <w:t xml:space="preserve">W przypadku wystąpienia zdarzeń losowych albo istotnych klinicznie lub ciężkich działań niepożądanych można opóźnić podanie kolejnej dawki leku, jednak nie dłużej niż </w:t>
            </w:r>
            <w:r w:rsidR="00E02186" w:rsidRPr="00AB65A4">
              <w:rPr>
                <w:sz w:val="20"/>
                <w:szCs w:val="20"/>
                <w:lang w:val="pl-PL"/>
              </w:rPr>
              <w:t xml:space="preserve">o </w:t>
            </w:r>
            <w:r w:rsidRPr="00AB65A4">
              <w:rPr>
                <w:sz w:val="20"/>
                <w:szCs w:val="20"/>
                <w:lang w:val="pl-PL"/>
              </w:rPr>
              <w:t>4 tygodnie.</w:t>
            </w:r>
          </w:p>
          <w:p w14:paraId="25A7EA7D" w14:textId="7E6A875D" w:rsidR="007F72A0" w:rsidRPr="00AB65A4" w:rsidRDefault="007F72A0" w:rsidP="00303C40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AB65A4">
              <w:rPr>
                <w:sz w:val="20"/>
                <w:szCs w:val="20"/>
                <w:lang w:val="pl-PL"/>
              </w:rPr>
              <w:t>Premedykacja</w:t>
            </w:r>
            <w:r w:rsidR="00ED0B17" w:rsidRPr="00AB65A4">
              <w:rPr>
                <w:sz w:val="20"/>
                <w:szCs w:val="20"/>
                <w:lang w:val="pl-PL"/>
              </w:rPr>
              <w:t>:</w:t>
            </w:r>
          </w:p>
          <w:p w14:paraId="35DB9647" w14:textId="3771ECFF" w:rsidR="007F72A0" w:rsidRPr="00AB65A4" w:rsidRDefault="00ED0B17" w:rsidP="00303C40">
            <w:pPr>
              <w:pStyle w:val="TableParagraph"/>
              <w:spacing w:after="60" w:line="276" w:lineRule="auto"/>
              <w:ind w:left="454"/>
              <w:jc w:val="both"/>
              <w:rPr>
                <w:sz w:val="20"/>
                <w:szCs w:val="20"/>
                <w:lang w:val="pl-PL"/>
              </w:rPr>
            </w:pPr>
            <w:r w:rsidRPr="00AB65A4">
              <w:rPr>
                <w:sz w:val="20"/>
                <w:szCs w:val="20"/>
                <w:lang w:val="pl-PL"/>
              </w:rPr>
              <w:t>w</w:t>
            </w:r>
            <w:r w:rsidR="007F72A0" w:rsidRPr="00AB65A4">
              <w:rPr>
                <w:sz w:val="20"/>
                <w:szCs w:val="20"/>
                <w:lang w:val="pl-PL"/>
              </w:rPr>
              <w:t xml:space="preserve"> celu zmniejszenia ryzyka wystąpienia i nasilenia reakcji nadwrażliwości, zalecany schemat premedykacji powinien być wykonany przynajmniej 30 minut przed każdym podaniem leku kabazytaksel poprzez dożylne podanie następujących produktów leczniczych:</w:t>
            </w:r>
          </w:p>
          <w:p w14:paraId="4420E59A" w14:textId="70BE2235" w:rsidR="007F72A0" w:rsidRPr="00AB65A4" w:rsidRDefault="007F72A0" w:rsidP="00303C40">
            <w:pPr>
              <w:pStyle w:val="TableParagraph"/>
              <w:numPr>
                <w:ilvl w:val="4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AB65A4">
              <w:rPr>
                <w:sz w:val="20"/>
                <w:szCs w:val="20"/>
                <w:lang w:val="pl-PL"/>
              </w:rPr>
              <w:t>lek przeciwhistaminowy (5 mg dekschlorfenyraminy</w:t>
            </w:r>
            <w:r w:rsidRPr="00AB65A4">
              <w:rPr>
                <w:spacing w:val="11"/>
                <w:sz w:val="20"/>
                <w:szCs w:val="20"/>
                <w:lang w:val="pl-PL"/>
              </w:rPr>
              <w:t xml:space="preserve"> </w:t>
            </w:r>
            <w:r w:rsidRPr="00AB65A4">
              <w:rPr>
                <w:sz w:val="20"/>
                <w:szCs w:val="20"/>
                <w:lang w:val="pl-PL"/>
              </w:rPr>
              <w:t>lub 25 mg difenhydraminy albo lek o równoważnej sile działania)</w:t>
            </w:r>
            <w:r w:rsidR="008B40A4" w:rsidRPr="00AB65A4">
              <w:rPr>
                <w:sz w:val="20"/>
                <w:szCs w:val="20"/>
                <w:lang w:val="pl-PL"/>
              </w:rPr>
              <w:t>,</w:t>
            </w:r>
          </w:p>
          <w:p w14:paraId="70811D36" w14:textId="010E8E51" w:rsidR="007F72A0" w:rsidRPr="00AB65A4" w:rsidRDefault="007F72A0" w:rsidP="00F011A0">
            <w:pPr>
              <w:pStyle w:val="TableParagraph"/>
              <w:numPr>
                <w:ilvl w:val="4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AB65A4">
              <w:rPr>
                <w:sz w:val="20"/>
                <w:szCs w:val="20"/>
                <w:lang w:val="pl-PL"/>
              </w:rPr>
              <w:t>kortykosteroid (8 mg deksametazonu albo lek o równoważnej sile działania)</w:t>
            </w:r>
            <w:r w:rsidRPr="00AB65A4">
              <w:rPr>
                <w:spacing w:val="-2"/>
                <w:sz w:val="20"/>
                <w:szCs w:val="20"/>
                <w:lang w:val="pl-PL"/>
              </w:rPr>
              <w:t xml:space="preserve"> </w:t>
            </w:r>
            <w:r w:rsidRPr="00AB65A4">
              <w:rPr>
                <w:sz w:val="20"/>
                <w:szCs w:val="20"/>
                <w:lang w:val="pl-PL"/>
              </w:rPr>
              <w:t>oraz</w:t>
            </w:r>
            <w:r w:rsidR="00F011A0" w:rsidRPr="00AB65A4">
              <w:rPr>
                <w:sz w:val="20"/>
                <w:szCs w:val="20"/>
                <w:lang w:val="pl-PL"/>
              </w:rPr>
              <w:t xml:space="preserve"> </w:t>
            </w:r>
            <w:r w:rsidRPr="00AB65A4">
              <w:rPr>
                <w:sz w:val="20"/>
                <w:szCs w:val="20"/>
                <w:lang w:val="pl-PL"/>
              </w:rPr>
              <w:t>antagonista receptora H2 (ranitydyna albo lek o równoważnej sile działania).</w:t>
            </w:r>
          </w:p>
          <w:p w14:paraId="33EEFD35" w14:textId="77777777" w:rsidR="00CA0696" w:rsidRPr="00AB65A4" w:rsidRDefault="00CA0696" w:rsidP="00303C40">
            <w:pPr>
              <w:pStyle w:val="TableParagraph"/>
              <w:tabs>
                <w:tab w:val="left" w:pos="426"/>
              </w:tabs>
              <w:spacing w:after="60" w:line="276" w:lineRule="auto"/>
              <w:ind w:left="0" w:right="93"/>
              <w:jc w:val="both"/>
              <w:rPr>
                <w:rFonts w:eastAsia="SimSun"/>
                <w:sz w:val="20"/>
                <w:szCs w:val="20"/>
                <w:lang w:val="pl-PL" w:eastAsia="zh-CN"/>
              </w:rPr>
            </w:pPr>
          </w:p>
          <w:p w14:paraId="254B40FE" w14:textId="1C61DEB5" w:rsidR="00CA0696" w:rsidRPr="00AB65A4" w:rsidRDefault="00CA0696" w:rsidP="00303C40">
            <w:p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20E" w14:textId="2135ADFA" w:rsidR="0026562F" w:rsidRPr="00AB65A4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Badania</w:t>
            </w:r>
            <w:r w:rsidR="00A862A6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przy</w:t>
            </w:r>
            <w:r w:rsidR="00A862A6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</w:p>
          <w:p w14:paraId="56639583" w14:textId="0195579A" w:rsidR="003E618B" w:rsidRPr="00AB65A4" w:rsidRDefault="00BA3747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h</w:t>
            </w:r>
            <w:r w:rsidR="0026562F" w:rsidRPr="00AB65A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istologicznie</w:t>
            </w:r>
            <w:r w:rsidR="00CD7BC8" w:rsidRPr="00AB65A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 xml:space="preserve"> </w:t>
            </w:r>
            <w:r w:rsidR="0026562F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potwierdzone</w:t>
            </w:r>
            <w:r w:rsidR="00A862A6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</w:t>
            </w:r>
            <w:r w:rsidR="00A862A6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krokowego;</w:t>
            </w:r>
          </w:p>
          <w:p w14:paraId="61CD59EC" w14:textId="27BCC1B5" w:rsidR="003E618B" w:rsidRPr="00AB65A4" w:rsidRDefault="00D61930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</w:t>
            </w:r>
            <w:r w:rsidR="00C90AA6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6252F7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DE2FE6A" w14:textId="77777777" w:rsidR="003E618B" w:rsidRPr="00AB65A4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PSA;</w:t>
            </w:r>
          </w:p>
          <w:p w14:paraId="610ADE39" w14:textId="77777777" w:rsidR="003E618B" w:rsidRPr="00AB65A4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testosteronu;</w:t>
            </w:r>
          </w:p>
          <w:p w14:paraId="1F155772" w14:textId="77777777" w:rsidR="003E618B" w:rsidRPr="00AB65A4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kreatyniny</w:t>
            </w:r>
            <w:r w:rsidR="009061AA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061AA" w:rsidRPr="00AB65A4">
              <w:rPr>
                <w:rFonts w:ascii="Times New Roman" w:hAnsi="Times New Roman" w:cs="Times New Roman"/>
                <w:sz w:val="20"/>
                <w:szCs w:val="20"/>
              </w:rPr>
              <w:t>(oraz wyliczenie klirensu kreatyniny)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FF64C90" w14:textId="55386397" w:rsidR="003E618B" w:rsidRPr="00AB65A4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bilirubiny</w:t>
            </w:r>
            <w:r w:rsidR="00C90AA6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770283" w14:textId="6F51821A" w:rsidR="003E618B" w:rsidRPr="00AB65A4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</w:t>
            </w:r>
            <w:r w:rsidR="00C90AA6"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252F7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2783C5" w14:textId="01C1D1C4" w:rsidR="00056031" w:rsidRPr="00AB65A4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</w:t>
            </w:r>
            <w:r w:rsidR="00C90AA6"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E494C6" w14:textId="095EFFA2" w:rsidR="00BE5454" w:rsidRPr="00AB65A4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E02A28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444F53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alkalicznej (</w:t>
            </w:r>
            <w:r w:rsidR="00ED2872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 radu Ra-223)</w:t>
            </w:r>
            <w:r w:rsidR="00FE61C2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E334491" w14:textId="7DC334F4" w:rsidR="00BE5454" w:rsidRPr="00AB65A4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60160" w:rsidRPr="00AB65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cyntygrafia kośćca</w:t>
            </w:r>
            <w:r w:rsidR="00603AEB" w:rsidRPr="00AB65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8FAA6" w14:textId="4ACB4ECD" w:rsidR="00444F53" w:rsidRPr="00AB65A4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860160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 lub rezonans magnetyczny</w:t>
            </w:r>
            <w:r w:rsidR="00FD09D1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860160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 zależności od sytuacji klinicznej</w:t>
            </w:r>
            <w:r w:rsidR="002D154C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="00FE61C2" w:rsidRPr="00AB65A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E1330EC" w14:textId="747951AF" w:rsidR="00444F53" w:rsidRPr="00AB65A4" w:rsidRDefault="00C324D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tomografia komputerowa jamy brzusznej i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miednicy</w:t>
            </w:r>
            <w:r w:rsidR="00603AEB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(w przypadku leczenia </w:t>
            </w:r>
            <w:r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dichlorkiem radu Ra-223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albo apalutamidem,</w:t>
            </w:r>
            <w:r w:rsidR="00EF14A9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darolutamidem,</w:t>
            </w:r>
            <w:r w:rsidR="00133C8D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enzalutamidem</w:t>
            </w:r>
            <w:r w:rsidR="00EF14A9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135F11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BC635B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na </w:t>
            </w:r>
            <w:r w:rsidR="00135F11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BC635B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</w:t>
            </w:r>
            <w:r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)</w:t>
            </w:r>
            <w:r w:rsidR="00603AEB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E0C2F2F" w14:textId="7EC071B5" w:rsidR="00444F53" w:rsidRPr="00AB65A4" w:rsidRDefault="00603AE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rentgenografia klatki piersiowej </w:t>
            </w:r>
            <w:r w:rsidR="00E02AEC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leczenia 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dichlorkiem radu Ra-223 albo apalutamidem, </w:t>
            </w:r>
            <w:r w:rsidR="00500FFA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darolutamidem, 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enzalutamidem</w:t>
            </w:r>
            <w:r w:rsidR="00500FFA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BC635B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na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135F11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E02AE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CRPC);</w:t>
            </w:r>
          </w:p>
          <w:p w14:paraId="0CDD0540" w14:textId="775A739D" w:rsidR="00853556" w:rsidRPr="00AB65A4" w:rsidRDefault="00853556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>pomiar gęstości mineralnej kości (w przypadku leczenia dichlorkiem radu</w:t>
            </w:r>
            <w:r w:rsidR="00DD6CCC"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D6CCC" w:rsidRPr="00AB65A4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Ra-223 </w:t>
            </w:r>
            <w:r w:rsidRPr="00AB65A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chorych z 4-5 przerzutami do kości);</w:t>
            </w:r>
          </w:p>
          <w:p w14:paraId="52C663B7" w14:textId="5E340628" w:rsidR="00B10952" w:rsidRPr="00AB65A4" w:rsidRDefault="00444F53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457B0" w:rsidRPr="00AB65A4">
              <w:rPr>
                <w:rFonts w:ascii="Times New Roman" w:hAnsi="Times New Roman" w:cs="Times New Roman"/>
                <w:sz w:val="20"/>
                <w:szCs w:val="20"/>
              </w:rPr>
              <w:t>nne badania w razie wskazań klinicznych.</w:t>
            </w:r>
          </w:p>
          <w:p w14:paraId="10319BB2" w14:textId="18F337CD" w:rsidR="000D3AFD" w:rsidRPr="00AB65A4" w:rsidRDefault="000D3AFD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Badania obrazowe </w:t>
            </w:r>
            <w:r w:rsidR="00BE5454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powinny być 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wykonane w ciągu 3 miesięcy przed włączeniem do programu.</w:t>
            </w:r>
          </w:p>
          <w:p w14:paraId="0CFD3A5B" w14:textId="2CDCF9DF" w:rsidR="00895DD1" w:rsidRPr="00AB65A4" w:rsidRDefault="00895DD1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Wstępne badania obrazowe musz</w:t>
            </w:r>
            <w:r w:rsidR="00D61930" w:rsidRPr="00AB65A4">
              <w:rPr>
                <w:rFonts w:ascii="Times New Roman" w:hAnsi="Times New Roman" w:cs="Times New Roman"/>
                <w:sz w:val="20"/>
                <w:szCs w:val="20"/>
              </w:rPr>
              <w:t>ą umożliwiać późniejszą obiektywną ocenę odpowiedzi na leczenie wg aktualnych kryteriów RECIST</w:t>
            </w:r>
            <w:r w:rsidR="00BE5454"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lub PCWG</w:t>
            </w:r>
            <w:r w:rsidR="00D61930" w:rsidRPr="00AB65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0C713" w14:textId="77777777" w:rsidR="00ED0B17" w:rsidRPr="00AB65A4" w:rsidRDefault="00ED0B17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46A3BE" w14:textId="6EE5E652" w:rsidR="00DA7AD1" w:rsidRPr="00AB65A4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leczenia</w:t>
            </w:r>
          </w:p>
          <w:p w14:paraId="428706B5" w14:textId="0A1B3E1F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 (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kabazytaksel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olaparyb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CB190A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Ra-223);</w:t>
            </w:r>
          </w:p>
          <w:p w14:paraId="51192173" w14:textId="47D5C53E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bilirubiny (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kabazytaksel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4277E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C250E7F" w14:textId="1DD35925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aktywności aminotransferazy alaninowej (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kabazytaksel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6252F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44A9F02F" w14:textId="2876AA44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oznaczenie aktywności aminotransferazy asparaginianowej</w:t>
            </w:r>
            <w:r w:rsidR="006252F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kabazytaksel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6252F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467010F1" w14:textId="7623B5E1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aktywności fosfatazy alkalicznej (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="00303C4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iem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radu Ra-223);</w:t>
            </w:r>
          </w:p>
          <w:p w14:paraId="3D0873CE" w14:textId="47B71879" w:rsidR="00BE4901" w:rsidRPr="00AB65A4" w:rsidRDefault="00BE4901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kreatyniny i wyliczenie klirensu kreatyniny (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olaparyb</w:t>
            </w:r>
            <w:r w:rsidR="00576993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5446CD88" w14:textId="75590A94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stężenia PSA, nie rzadziej niż co 3 miesiące, w przypadku stwierdzenia zwiększenia stężenia PSA kolejne oznaczenia należy wykonywać nie rzadziej niż co </w:t>
            </w:r>
            <w:r w:rsidR="00E46071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1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miesiąc;</w:t>
            </w:r>
          </w:p>
          <w:p w14:paraId="3B47CE65" w14:textId="632EF206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obrazowe (</w:t>
            </w:r>
            <w:r w:rsidR="00CD7BC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RTG/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TK/MR) w zależności od badania wykonanego przy kwalifikacji, nie rzadziej niż co 6 miesięcy;</w:t>
            </w:r>
          </w:p>
          <w:p w14:paraId="4CC5D96C" w14:textId="1B07B137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nie rzadziej niż co 6 miesięcy</w:t>
            </w:r>
            <w:r w:rsidR="00CD7BC8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D32F12E" w14:textId="72573B43" w:rsidR="00877F06" w:rsidRPr="00AB65A4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</w:t>
            </w:r>
            <w:r w:rsidR="00303C40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3A2570CB" w14:textId="77777777" w:rsidR="008F030F" w:rsidRPr="00AB65A4" w:rsidRDefault="008F030F" w:rsidP="00303C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Badania laboratoryjne wykonuje się:</w:t>
            </w:r>
          </w:p>
          <w:p w14:paraId="36E7EC48" w14:textId="14C1910A" w:rsidR="0067048F" w:rsidRPr="00AB65A4" w:rsidRDefault="00877F06" w:rsidP="00303C40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badania krwi regularnie co </w:t>
            </w:r>
            <w:r w:rsidR="009B3009" w:rsidRPr="00AB65A4"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miesiące, również przy braku wskazań klinicznych</w:t>
            </w:r>
            <w:r w:rsidR="00F05285" w:rsidRPr="00AB65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0D824D" w14:textId="13C7802E" w:rsidR="0067048F" w:rsidRPr="00AB65A4" w:rsidRDefault="00877F06" w:rsidP="00303C40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przed podaniem każdej dawki leku w przypadku leczenia kabazytakselem albo dichlorkiem radu Ra-223 oraz jednorazowo w okresie 4-8 tygodni od momentu podania ostatniej dawki </w:t>
            </w:r>
            <w:r w:rsidR="00484096" w:rsidRPr="00AB65A4">
              <w:rPr>
                <w:rFonts w:ascii="Times New Roman" w:hAnsi="Times New Roman" w:cs="Times New Roman"/>
                <w:sz w:val="20"/>
                <w:szCs w:val="20"/>
              </w:rPr>
              <w:t>dichlorku</w:t>
            </w: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 xml:space="preserve"> radu Ra-223;</w:t>
            </w:r>
          </w:p>
          <w:p w14:paraId="081E76C9" w14:textId="60E5E8F3" w:rsidR="00CB190A" w:rsidRPr="00AB65A4" w:rsidRDefault="00CB190A" w:rsidP="00303C40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</w:t>
            </w:r>
            <w:r w:rsidR="00161D82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oznaczenie stężenia kreatyniny i wyliczenie klirensu </w:t>
            </w:r>
            <w:r w:rsidR="00161D82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kreatyniny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rzadziej niż co </w:t>
            </w:r>
            <w:r w:rsidR="009B3009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1 </w:t>
            </w: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miesiąc (w przypadku leczenia olaparybem)</w:t>
            </w:r>
            <w:r w:rsidR="00F05285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D124116" w14:textId="59F06937" w:rsidR="00ED0B17" w:rsidRPr="00AB65A4" w:rsidRDefault="00D52694" w:rsidP="00303C40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oceniające odpowiedź powinny być wykonywane zawsze przy klinicznym podejrzeniu progresji</w:t>
            </w:r>
            <w:r w:rsidR="005E5777" w:rsidRPr="00AB65A4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6F3C9B41" w14:textId="77777777" w:rsidR="003E618B" w:rsidRPr="00AB65A4" w:rsidRDefault="003E618B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153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7D5C944" w14:textId="5AD58532" w:rsidR="0026562F" w:rsidRPr="00AB65A4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AB65A4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7C8B6F83" w14:textId="77777777" w:rsidR="00CD7BC8" w:rsidRPr="00AB65A4" w:rsidRDefault="00CD7BC8" w:rsidP="00303C40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0C41EB81" w14:textId="77777777" w:rsidR="00CD7BC8" w:rsidRPr="00AB65A4" w:rsidRDefault="00CD7BC8" w:rsidP="00303C40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uzupełnianie danych zawartych w elektronicznym systemie monitorowania programów lekowych (SMPT) dostępnym za pomocą aplikacji internetowej udostępnionej przez OW NFZ z częstotliwością zgodną z opisem programu oraz na zakończenie leczenia;</w:t>
            </w:r>
          </w:p>
          <w:p w14:paraId="57F47187" w14:textId="77777777" w:rsidR="00CD7BC8" w:rsidRPr="00AB65A4" w:rsidRDefault="00CD7BC8" w:rsidP="00303C40">
            <w:pPr>
              <w:numPr>
                <w:ilvl w:val="3"/>
                <w:numId w:val="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5A4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1AEC22D4" w14:textId="77777777" w:rsidR="00BF356A" w:rsidRPr="00303C40" w:rsidRDefault="00BF356A" w:rsidP="00303C40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76556F78" w14:textId="418F2C67" w:rsidR="00491560" w:rsidRPr="00303C40" w:rsidRDefault="00491560" w:rsidP="00303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623218" w14:textId="77777777" w:rsidR="00A06AAE" w:rsidRPr="002B71D5" w:rsidRDefault="00A06AAE" w:rsidP="00B47AD3">
      <w:pPr>
        <w:jc w:val="both"/>
        <w:rPr>
          <w:sz w:val="2"/>
          <w:szCs w:val="2"/>
        </w:rPr>
      </w:pPr>
    </w:p>
    <w:sectPr w:rsidR="00A06AAE" w:rsidRPr="002B71D5" w:rsidSect="00F9655A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F1EB" w14:textId="77777777" w:rsidR="003278F7" w:rsidRDefault="003278F7">
      <w:pPr>
        <w:spacing w:after="0" w:line="240" w:lineRule="auto"/>
      </w:pPr>
      <w:r>
        <w:separator/>
      </w:r>
    </w:p>
  </w:endnote>
  <w:endnote w:type="continuationSeparator" w:id="0">
    <w:p w14:paraId="03FE61F1" w14:textId="77777777" w:rsidR="003278F7" w:rsidRDefault="0032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C4112" w14:textId="77777777" w:rsidR="003278F7" w:rsidRDefault="003278F7">
      <w:pPr>
        <w:spacing w:after="0" w:line="240" w:lineRule="auto"/>
      </w:pPr>
      <w:r>
        <w:separator/>
      </w:r>
    </w:p>
  </w:footnote>
  <w:footnote w:type="continuationSeparator" w:id="0">
    <w:p w14:paraId="343C1DD8" w14:textId="77777777" w:rsidR="003278F7" w:rsidRDefault="00327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71D6E"/>
    <w:multiLevelType w:val="hybridMultilevel"/>
    <w:tmpl w:val="9356D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576E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4BAD693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5DD21ECD"/>
    <w:multiLevelType w:val="hybridMultilevel"/>
    <w:tmpl w:val="C8E6B36A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6B0733D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457264962">
    <w:abstractNumId w:val="2"/>
  </w:num>
  <w:num w:numId="2" w16cid:durableId="1581063842">
    <w:abstractNumId w:val="3"/>
  </w:num>
  <w:num w:numId="3" w16cid:durableId="1200821174">
    <w:abstractNumId w:val="1"/>
  </w:num>
  <w:num w:numId="4" w16cid:durableId="455874331">
    <w:abstractNumId w:val="5"/>
  </w:num>
  <w:num w:numId="5" w16cid:durableId="719864031">
    <w:abstractNumId w:val="4"/>
  </w:num>
  <w:num w:numId="6" w16cid:durableId="18580809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60"/>
    <w:rsid w:val="00004151"/>
    <w:rsid w:val="00005880"/>
    <w:rsid w:val="00006A15"/>
    <w:rsid w:val="000153AC"/>
    <w:rsid w:val="00016CEF"/>
    <w:rsid w:val="00017DA7"/>
    <w:rsid w:val="00030447"/>
    <w:rsid w:val="00031C3D"/>
    <w:rsid w:val="00032373"/>
    <w:rsid w:val="00032A01"/>
    <w:rsid w:val="00032E20"/>
    <w:rsid w:val="00035F13"/>
    <w:rsid w:val="00036005"/>
    <w:rsid w:val="000362B4"/>
    <w:rsid w:val="0004148E"/>
    <w:rsid w:val="0004277E"/>
    <w:rsid w:val="000432BE"/>
    <w:rsid w:val="000436A2"/>
    <w:rsid w:val="0004423A"/>
    <w:rsid w:val="00045006"/>
    <w:rsid w:val="00046BC9"/>
    <w:rsid w:val="000530A5"/>
    <w:rsid w:val="000549C2"/>
    <w:rsid w:val="000554E5"/>
    <w:rsid w:val="00055A75"/>
    <w:rsid w:val="00056031"/>
    <w:rsid w:val="00060064"/>
    <w:rsid w:val="000632C9"/>
    <w:rsid w:val="00065870"/>
    <w:rsid w:val="00067075"/>
    <w:rsid w:val="00070DB6"/>
    <w:rsid w:val="00072340"/>
    <w:rsid w:val="00077259"/>
    <w:rsid w:val="00081611"/>
    <w:rsid w:val="00081BD9"/>
    <w:rsid w:val="00083175"/>
    <w:rsid w:val="00083289"/>
    <w:rsid w:val="00083719"/>
    <w:rsid w:val="00083F5F"/>
    <w:rsid w:val="0008541A"/>
    <w:rsid w:val="00085E89"/>
    <w:rsid w:val="000871A6"/>
    <w:rsid w:val="00090EC6"/>
    <w:rsid w:val="00095981"/>
    <w:rsid w:val="00095B9D"/>
    <w:rsid w:val="00095F4B"/>
    <w:rsid w:val="0009679D"/>
    <w:rsid w:val="000968B7"/>
    <w:rsid w:val="000A3FB2"/>
    <w:rsid w:val="000A456C"/>
    <w:rsid w:val="000A507C"/>
    <w:rsid w:val="000A5FB6"/>
    <w:rsid w:val="000A626B"/>
    <w:rsid w:val="000A6D83"/>
    <w:rsid w:val="000B2405"/>
    <w:rsid w:val="000B33A5"/>
    <w:rsid w:val="000B3D34"/>
    <w:rsid w:val="000B4003"/>
    <w:rsid w:val="000B57E7"/>
    <w:rsid w:val="000B6E0C"/>
    <w:rsid w:val="000B74CB"/>
    <w:rsid w:val="000C4336"/>
    <w:rsid w:val="000C5476"/>
    <w:rsid w:val="000C5D0D"/>
    <w:rsid w:val="000D0532"/>
    <w:rsid w:val="000D1537"/>
    <w:rsid w:val="000D1AC1"/>
    <w:rsid w:val="000D3AFD"/>
    <w:rsid w:val="000D62D3"/>
    <w:rsid w:val="000D6C5B"/>
    <w:rsid w:val="000D6E31"/>
    <w:rsid w:val="000D7C1E"/>
    <w:rsid w:val="000E46F4"/>
    <w:rsid w:val="000F0412"/>
    <w:rsid w:val="000F2B9B"/>
    <w:rsid w:val="000F6688"/>
    <w:rsid w:val="000F68FE"/>
    <w:rsid w:val="000F6A88"/>
    <w:rsid w:val="00100F5E"/>
    <w:rsid w:val="001029B3"/>
    <w:rsid w:val="00104142"/>
    <w:rsid w:val="00104B0B"/>
    <w:rsid w:val="00104DC7"/>
    <w:rsid w:val="00105A4E"/>
    <w:rsid w:val="0010600E"/>
    <w:rsid w:val="0010749C"/>
    <w:rsid w:val="00115F9E"/>
    <w:rsid w:val="00122C86"/>
    <w:rsid w:val="00123689"/>
    <w:rsid w:val="0012638D"/>
    <w:rsid w:val="0012779C"/>
    <w:rsid w:val="0012787C"/>
    <w:rsid w:val="001303DC"/>
    <w:rsid w:val="001332C2"/>
    <w:rsid w:val="00133C8D"/>
    <w:rsid w:val="0013513C"/>
    <w:rsid w:val="00135F11"/>
    <w:rsid w:val="00136762"/>
    <w:rsid w:val="00141E98"/>
    <w:rsid w:val="0014301C"/>
    <w:rsid w:val="0014331D"/>
    <w:rsid w:val="00145274"/>
    <w:rsid w:val="00150FCF"/>
    <w:rsid w:val="00151B72"/>
    <w:rsid w:val="00151BE1"/>
    <w:rsid w:val="00151D9E"/>
    <w:rsid w:val="00154E29"/>
    <w:rsid w:val="001559E7"/>
    <w:rsid w:val="00155EC0"/>
    <w:rsid w:val="001567EA"/>
    <w:rsid w:val="001578E7"/>
    <w:rsid w:val="00157C65"/>
    <w:rsid w:val="001605D7"/>
    <w:rsid w:val="00161D82"/>
    <w:rsid w:val="001626A4"/>
    <w:rsid w:val="0016374A"/>
    <w:rsid w:val="00164A8D"/>
    <w:rsid w:val="00165523"/>
    <w:rsid w:val="0017211B"/>
    <w:rsid w:val="00172F33"/>
    <w:rsid w:val="00173D3F"/>
    <w:rsid w:val="00176AE3"/>
    <w:rsid w:val="00177493"/>
    <w:rsid w:val="0018076B"/>
    <w:rsid w:val="00180D1A"/>
    <w:rsid w:val="00182A3C"/>
    <w:rsid w:val="001844BC"/>
    <w:rsid w:val="001869D7"/>
    <w:rsid w:val="0018752D"/>
    <w:rsid w:val="00187814"/>
    <w:rsid w:val="001901F5"/>
    <w:rsid w:val="00190461"/>
    <w:rsid w:val="0019197B"/>
    <w:rsid w:val="001939DF"/>
    <w:rsid w:val="00194617"/>
    <w:rsid w:val="001946CB"/>
    <w:rsid w:val="001964C4"/>
    <w:rsid w:val="00197005"/>
    <w:rsid w:val="001A18DE"/>
    <w:rsid w:val="001A2596"/>
    <w:rsid w:val="001A5237"/>
    <w:rsid w:val="001A630D"/>
    <w:rsid w:val="001A7D5A"/>
    <w:rsid w:val="001B0E04"/>
    <w:rsid w:val="001B68C0"/>
    <w:rsid w:val="001B76C5"/>
    <w:rsid w:val="001C004F"/>
    <w:rsid w:val="001C02C0"/>
    <w:rsid w:val="001C15A6"/>
    <w:rsid w:val="001C3932"/>
    <w:rsid w:val="001C4395"/>
    <w:rsid w:val="001C5F43"/>
    <w:rsid w:val="001C75D8"/>
    <w:rsid w:val="001D1B35"/>
    <w:rsid w:val="001D38F9"/>
    <w:rsid w:val="001D57D1"/>
    <w:rsid w:val="001D6DFB"/>
    <w:rsid w:val="001E0E54"/>
    <w:rsid w:val="001E1CA9"/>
    <w:rsid w:val="001E2C43"/>
    <w:rsid w:val="001E417E"/>
    <w:rsid w:val="001E68A8"/>
    <w:rsid w:val="001F51D5"/>
    <w:rsid w:val="001F5D94"/>
    <w:rsid w:val="001F712D"/>
    <w:rsid w:val="00200550"/>
    <w:rsid w:val="002038A1"/>
    <w:rsid w:val="00204A52"/>
    <w:rsid w:val="00204A6A"/>
    <w:rsid w:val="00205573"/>
    <w:rsid w:val="00205686"/>
    <w:rsid w:val="00205FBF"/>
    <w:rsid w:val="00212005"/>
    <w:rsid w:val="00212807"/>
    <w:rsid w:val="002132F5"/>
    <w:rsid w:val="00214A0B"/>
    <w:rsid w:val="00214F80"/>
    <w:rsid w:val="00215AC8"/>
    <w:rsid w:val="00220AAE"/>
    <w:rsid w:val="00220BF7"/>
    <w:rsid w:val="00226E3C"/>
    <w:rsid w:val="00227946"/>
    <w:rsid w:val="00232774"/>
    <w:rsid w:val="00233DFF"/>
    <w:rsid w:val="00233F4E"/>
    <w:rsid w:val="00235485"/>
    <w:rsid w:val="00235DE9"/>
    <w:rsid w:val="00237BDE"/>
    <w:rsid w:val="00237D3C"/>
    <w:rsid w:val="00240088"/>
    <w:rsid w:val="00243D79"/>
    <w:rsid w:val="00243E4E"/>
    <w:rsid w:val="00245C46"/>
    <w:rsid w:val="002467A0"/>
    <w:rsid w:val="00246D05"/>
    <w:rsid w:val="00251F3F"/>
    <w:rsid w:val="00251FC9"/>
    <w:rsid w:val="00252958"/>
    <w:rsid w:val="002551D7"/>
    <w:rsid w:val="0025617D"/>
    <w:rsid w:val="002626B6"/>
    <w:rsid w:val="002635D6"/>
    <w:rsid w:val="0026562F"/>
    <w:rsid w:val="002729FF"/>
    <w:rsid w:val="00276019"/>
    <w:rsid w:val="002764D7"/>
    <w:rsid w:val="0028330F"/>
    <w:rsid w:val="00286939"/>
    <w:rsid w:val="00290805"/>
    <w:rsid w:val="002908D9"/>
    <w:rsid w:val="00294480"/>
    <w:rsid w:val="00294C06"/>
    <w:rsid w:val="00296F57"/>
    <w:rsid w:val="002A35BE"/>
    <w:rsid w:val="002A6F15"/>
    <w:rsid w:val="002A7745"/>
    <w:rsid w:val="002A77C9"/>
    <w:rsid w:val="002B2709"/>
    <w:rsid w:val="002B3AD8"/>
    <w:rsid w:val="002B3DCB"/>
    <w:rsid w:val="002B48F6"/>
    <w:rsid w:val="002B625C"/>
    <w:rsid w:val="002B71D5"/>
    <w:rsid w:val="002B796C"/>
    <w:rsid w:val="002B7F76"/>
    <w:rsid w:val="002C1D65"/>
    <w:rsid w:val="002C6246"/>
    <w:rsid w:val="002C6358"/>
    <w:rsid w:val="002C7612"/>
    <w:rsid w:val="002C7911"/>
    <w:rsid w:val="002C7AF5"/>
    <w:rsid w:val="002D0C00"/>
    <w:rsid w:val="002D154C"/>
    <w:rsid w:val="002D1EC1"/>
    <w:rsid w:val="002D2655"/>
    <w:rsid w:val="002D5B3D"/>
    <w:rsid w:val="002D614C"/>
    <w:rsid w:val="002D7748"/>
    <w:rsid w:val="002E2FAA"/>
    <w:rsid w:val="002E3FC5"/>
    <w:rsid w:val="002E4F9E"/>
    <w:rsid w:val="002F04FC"/>
    <w:rsid w:val="002F07E6"/>
    <w:rsid w:val="002F2036"/>
    <w:rsid w:val="002F2C20"/>
    <w:rsid w:val="002F2E13"/>
    <w:rsid w:val="002F4BBC"/>
    <w:rsid w:val="002F4D43"/>
    <w:rsid w:val="002F5B4E"/>
    <w:rsid w:val="002F5FEE"/>
    <w:rsid w:val="002F615D"/>
    <w:rsid w:val="00301498"/>
    <w:rsid w:val="00303C40"/>
    <w:rsid w:val="003055B5"/>
    <w:rsid w:val="003060C6"/>
    <w:rsid w:val="00313770"/>
    <w:rsid w:val="00313993"/>
    <w:rsid w:val="00317350"/>
    <w:rsid w:val="00317F56"/>
    <w:rsid w:val="0032025F"/>
    <w:rsid w:val="00323350"/>
    <w:rsid w:val="00323A57"/>
    <w:rsid w:val="00323E9A"/>
    <w:rsid w:val="003256BC"/>
    <w:rsid w:val="00327285"/>
    <w:rsid w:val="003278F7"/>
    <w:rsid w:val="00327A30"/>
    <w:rsid w:val="00327C66"/>
    <w:rsid w:val="00330875"/>
    <w:rsid w:val="00332918"/>
    <w:rsid w:val="00337F17"/>
    <w:rsid w:val="00341E3E"/>
    <w:rsid w:val="00342539"/>
    <w:rsid w:val="00347E5F"/>
    <w:rsid w:val="003506F9"/>
    <w:rsid w:val="00350E4B"/>
    <w:rsid w:val="00354A60"/>
    <w:rsid w:val="003561C9"/>
    <w:rsid w:val="00357144"/>
    <w:rsid w:val="00360660"/>
    <w:rsid w:val="00362C4C"/>
    <w:rsid w:val="0036424B"/>
    <w:rsid w:val="0036594A"/>
    <w:rsid w:val="00371D5F"/>
    <w:rsid w:val="0037282D"/>
    <w:rsid w:val="00374294"/>
    <w:rsid w:val="00375A8B"/>
    <w:rsid w:val="003771C8"/>
    <w:rsid w:val="00384586"/>
    <w:rsid w:val="003873A0"/>
    <w:rsid w:val="0038741E"/>
    <w:rsid w:val="00391F75"/>
    <w:rsid w:val="003940BD"/>
    <w:rsid w:val="003A0CB6"/>
    <w:rsid w:val="003A268F"/>
    <w:rsid w:val="003A2BBB"/>
    <w:rsid w:val="003A3748"/>
    <w:rsid w:val="003A6A07"/>
    <w:rsid w:val="003B08FA"/>
    <w:rsid w:val="003B0CEA"/>
    <w:rsid w:val="003B2D8A"/>
    <w:rsid w:val="003B4B08"/>
    <w:rsid w:val="003B5738"/>
    <w:rsid w:val="003B6E3F"/>
    <w:rsid w:val="003B7875"/>
    <w:rsid w:val="003C1C8E"/>
    <w:rsid w:val="003C1E8E"/>
    <w:rsid w:val="003C23A2"/>
    <w:rsid w:val="003C3434"/>
    <w:rsid w:val="003C78A7"/>
    <w:rsid w:val="003C7FCA"/>
    <w:rsid w:val="003D088B"/>
    <w:rsid w:val="003D40FF"/>
    <w:rsid w:val="003D420B"/>
    <w:rsid w:val="003D42A0"/>
    <w:rsid w:val="003D5ACA"/>
    <w:rsid w:val="003D6615"/>
    <w:rsid w:val="003E058D"/>
    <w:rsid w:val="003E1610"/>
    <w:rsid w:val="003E4E19"/>
    <w:rsid w:val="003E4FF6"/>
    <w:rsid w:val="003E526F"/>
    <w:rsid w:val="003E569D"/>
    <w:rsid w:val="003E618B"/>
    <w:rsid w:val="003E6A68"/>
    <w:rsid w:val="003F2DFB"/>
    <w:rsid w:val="003F3217"/>
    <w:rsid w:val="003F6E02"/>
    <w:rsid w:val="003F7B97"/>
    <w:rsid w:val="0040223A"/>
    <w:rsid w:val="00405B38"/>
    <w:rsid w:val="00406378"/>
    <w:rsid w:val="00410E52"/>
    <w:rsid w:val="00411A46"/>
    <w:rsid w:val="00411C59"/>
    <w:rsid w:val="00412682"/>
    <w:rsid w:val="004143E9"/>
    <w:rsid w:val="0041488B"/>
    <w:rsid w:val="00414E26"/>
    <w:rsid w:val="0041545F"/>
    <w:rsid w:val="00415679"/>
    <w:rsid w:val="00415AE9"/>
    <w:rsid w:val="004178CD"/>
    <w:rsid w:val="0042026E"/>
    <w:rsid w:val="00421391"/>
    <w:rsid w:val="0042455C"/>
    <w:rsid w:val="00427630"/>
    <w:rsid w:val="00427C49"/>
    <w:rsid w:val="00431FF1"/>
    <w:rsid w:val="004348F0"/>
    <w:rsid w:val="00436450"/>
    <w:rsid w:val="0043709E"/>
    <w:rsid w:val="00437501"/>
    <w:rsid w:val="00441B2E"/>
    <w:rsid w:val="00441EEE"/>
    <w:rsid w:val="004444A6"/>
    <w:rsid w:val="00444F53"/>
    <w:rsid w:val="004459BA"/>
    <w:rsid w:val="00445C80"/>
    <w:rsid w:val="00447C42"/>
    <w:rsid w:val="004506CC"/>
    <w:rsid w:val="0045168A"/>
    <w:rsid w:val="00451BE5"/>
    <w:rsid w:val="00452151"/>
    <w:rsid w:val="00453DA4"/>
    <w:rsid w:val="0046215C"/>
    <w:rsid w:val="00462310"/>
    <w:rsid w:val="00466FFE"/>
    <w:rsid w:val="00470824"/>
    <w:rsid w:val="00470AF8"/>
    <w:rsid w:val="00473521"/>
    <w:rsid w:val="00474501"/>
    <w:rsid w:val="004746AD"/>
    <w:rsid w:val="00474B9F"/>
    <w:rsid w:val="00474E5F"/>
    <w:rsid w:val="00476EE8"/>
    <w:rsid w:val="00477850"/>
    <w:rsid w:val="00480777"/>
    <w:rsid w:val="00480813"/>
    <w:rsid w:val="00483644"/>
    <w:rsid w:val="00484096"/>
    <w:rsid w:val="00484D2A"/>
    <w:rsid w:val="00485E6B"/>
    <w:rsid w:val="00486368"/>
    <w:rsid w:val="00486C7A"/>
    <w:rsid w:val="00491560"/>
    <w:rsid w:val="004943AE"/>
    <w:rsid w:val="00494BBB"/>
    <w:rsid w:val="0049710C"/>
    <w:rsid w:val="004A00CC"/>
    <w:rsid w:val="004A0318"/>
    <w:rsid w:val="004A1B03"/>
    <w:rsid w:val="004A2662"/>
    <w:rsid w:val="004A2684"/>
    <w:rsid w:val="004B0596"/>
    <w:rsid w:val="004B11B4"/>
    <w:rsid w:val="004B2778"/>
    <w:rsid w:val="004B2A4F"/>
    <w:rsid w:val="004B324A"/>
    <w:rsid w:val="004B64F8"/>
    <w:rsid w:val="004B6BBF"/>
    <w:rsid w:val="004C0A77"/>
    <w:rsid w:val="004C1FAA"/>
    <w:rsid w:val="004C226C"/>
    <w:rsid w:val="004C2A43"/>
    <w:rsid w:val="004D018C"/>
    <w:rsid w:val="004D1295"/>
    <w:rsid w:val="004D1730"/>
    <w:rsid w:val="004D2004"/>
    <w:rsid w:val="004D3E05"/>
    <w:rsid w:val="004D441C"/>
    <w:rsid w:val="004D6CDA"/>
    <w:rsid w:val="004D7B0F"/>
    <w:rsid w:val="004E0F5E"/>
    <w:rsid w:val="004E13E1"/>
    <w:rsid w:val="004E18C7"/>
    <w:rsid w:val="004E2647"/>
    <w:rsid w:val="004E27BF"/>
    <w:rsid w:val="004E3D4D"/>
    <w:rsid w:val="004E5E88"/>
    <w:rsid w:val="004E7A70"/>
    <w:rsid w:val="004F113C"/>
    <w:rsid w:val="004F155F"/>
    <w:rsid w:val="004F1742"/>
    <w:rsid w:val="004F2D17"/>
    <w:rsid w:val="004F6FC4"/>
    <w:rsid w:val="00500FFA"/>
    <w:rsid w:val="00505604"/>
    <w:rsid w:val="005111C8"/>
    <w:rsid w:val="0051281D"/>
    <w:rsid w:val="00512C4C"/>
    <w:rsid w:val="00520C14"/>
    <w:rsid w:val="00525E02"/>
    <w:rsid w:val="00526B07"/>
    <w:rsid w:val="005274B3"/>
    <w:rsid w:val="00531567"/>
    <w:rsid w:val="00534681"/>
    <w:rsid w:val="00534AC9"/>
    <w:rsid w:val="00541665"/>
    <w:rsid w:val="00541E1B"/>
    <w:rsid w:val="00547C39"/>
    <w:rsid w:val="005513D8"/>
    <w:rsid w:val="005574B7"/>
    <w:rsid w:val="00557B9D"/>
    <w:rsid w:val="00560713"/>
    <w:rsid w:val="0056360A"/>
    <w:rsid w:val="00563639"/>
    <w:rsid w:val="0056739C"/>
    <w:rsid w:val="005707D9"/>
    <w:rsid w:val="00570DA0"/>
    <w:rsid w:val="00570FDF"/>
    <w:rsid w:val="00572065"/>
    <w:rsid w:val="0057445A"/>
    <w:rsid w:val="005768A3"/>
    <w:rsid w:val="00576993"/>
    <w:rsid w:val="00576CE6"/>
    <w:rsid w:val="00581EF0"/>
    <w:rsid w:val="00583F62"/>
    <w:rsid w:val="00584F62"/>
    <w:rsid w:val="00585E0B"/>
    <w:rsid w:val="00594666"/>
    <w:rsid w:val="00594BF5"/>
    <w:rsid w:val="005A1106"/>
    <w:rsid w:val="005A14B6"/>
    <w:rsid w:val="005A223E"/>
    <w:rsid w:val="005A28E7"/>
    <w:rsid w:val="005A5206"/>
    <w:rsid w:val="005A6322"/>
    <w:rsid w:val="005A6FC7"/>
    <w:rsid w:val="005A7AE3"/>
    <w:rsid w:val="005B2EC6"/>
    <w:rsid w:val="005B3681"/>
    <w:rsid w:val="005B6CC0"/>
    <w:rsid w:val="005B7F34"/>
    <w:rsid w:val="005C0C4B"/>
    <w:rsid w:val="005C17EE"/>
    <w:rsid w:val="005C3C2D"/>
    <w:rsid w:val="005C650C"/>
    <w:rsid w:val="005C691B"/>
    <w:rsid w:val="005D0A2C"/>
    <w:rsid w:val="005D2A3D"/>
    <w:rsid w:val="005D6468"/>
    <w:rsid w:val="005D6924"/>
    <w:rsid w:val="005D71FF"/>
    <w:rsid w:val="005E001E"/>
    <w:rsid w:val="005E0073"/>
    <w:rsid w:val="005E2726"/>
    <w:rsid w:val="005E3CE5"/>
    <w:rsid w:val="005E4FF9"/>
    <w:rsid w:val="005E527F"/>
    <w:rsid w:val="005E5777"/>
    <w:rsid w:val="005E7624"/>
    <w:rsid w:val="005F10EF"/>
    <w:rsid w:val="005F2589"/>
    <w:rsid w:val="005F4B5F"/>
    <w:rsid w:val="005F55B1"/>
    <w:rsid w:val="005F5625"/>
    <w:rsid w:val="005F7EC0"/>
    <w:rsid w:val="00600A86"/>
    <w:rsid w:val="00601C1F"/>
    <w:rsid w:val="0060373B"/>
    <w:rsid w:val="00603AEB"/>
    <w:rsid w:val="006043D3"/>
    <w:rsid w:val="0060457E"/>
    <w:rsid w:val="0060468D"/>
    <w:rsid w:val="00604CD1"/>
    <w:rsid w:val="00604EBC"/>
    <w:rsid w:val="00605C2C"/>
    <w:rsid w:val="00606863"/>
    <w:rsid w:val="00610D0B"/>
    <w:rsid w:val="0061207A"/>
    <w:rsid w:val="00612863"/>
    <w:rsid w:val="0061402F"/>
    <w:rsid w:val="0061407D"/>
    <w:rsid w:val="0061756B"/>
    <w:rsid w:val="0062350E"/>
    <w:rsid w:val="006252F7"/>
    <w:rsid w:val="0063122E"/>
    <w:rsid w:val="0063370C"/>
    <w:rsid w:val="00636347"/>
    <w:rsid w:val="006412DC"/>
    <w:rsid w:val="00642612"/>
    <w:rsid w:val="00643004"/>
    <w:rsid w:val="006446DC"/>
    <w:rsid w:val="00644C94"/>
    <w:rsid w:val="006457B0"/>
    <w:rsid w:val="00647088"/>
    <w:rsid w:val="0065034F"/>
    <w:rsid w:val="006531FA"/>
    <w:rsid w:val="00654430"/>
    <w:rsid w:val="00661567"/>
    <w:rsid w:val="006625EA"/>
    <w:rsid w:val="00663736"/>
    <w:rsid w:val="006641AA"/>
    <w:rsid w:val="00664610"/>
    <w:rsid w:val="00665BA9"/>
    <w:rsid w:val="00665D22"/>
    <w:rsid w:val="00666327"/>
    <w:rsid w:val="00667562"/>
    <w:rsid w:val="00667A99"/>
    <w:rsid w:val="0067048F"/>
    <w:rsid w:val="00670C07"/>
    <w:rsid w:val="0067419B"/>
    <w:rsid w:val="00677116"/>
    <w:rsid w:val="0068030E"/>
    <w:rsid w:val="00681A0A"/>
    <w:rsid w:val="0068384E"/>
    <w:rsid w:val="006875EA"/>
    <w:rsid w:val="00687E7B"/>
    <w:rsid w:val="006900AD"/>
    <w:rsid w:val="00690A9F"/>
    <w:rsid w:val="0069297A"/>
    <w:rsid w:val="00692C68"/>
    <w:rsid w:val="00693414"/>
    <w:rsid w:val="00694B30"/>
    <w:rsid w:val="00695BE9"/>
    <w:rsid w:val="006A0D35"/>
    <w:rsid w:val="006A1234"/>
    <w:rsid w:val="006A1444"/>
    <w:rsid w:val="006A2F7B"/>
    <w:rsid w:val="006A5DFC"/>
    <w:rsid w:val="006A6FEB"/>
    <w:rsid w:val="006A73A6"/>
    <w:rsid w:val="006B095F"/>
    <w:rsid w:val="006B0E5C"/>
    <w:rsid w:val="006B17AE"/>
    <w:rsid w:val="006B1F04"/>
    <w:rsid w:val="006B2EA2"/>
    <w:rsid w:val="006B34C5"/>
    <w:rsid w:val="006B377A"/>
    <w:rsid w:val="006B4BE8"/>
    <w:rsid w:val="006B5132"/>
    <w:rsid w:val="006B6432"/>
    <w:rsid w:val="006B6CB4"/>
    <w:rsid w:val="006C05ED"/>
    <w:rsid w:val="006C61E3"/>
    <w:rsid w:val="006C666C"/>
    <w:rsid w:val="006C6941"/>
    <w:rsid w:val="006D1FE1"/>
    <w:rsid w:val="006D6895"/>
    <w:rsid w:val="006D7E70"/>
    <w:rsid w:val="006E1178"/>
    <w:rsid w:val="006E11F6"/>
    <w:rsid w:val="006E235A"/>
    <w:rsid w:val="006E5B2B"/>
    <w:rsid w:val="006E6A4D"/>
    <w:rsid w:val="006E7D66"/>
    <w:rsid w:val="006E7E48"/>
    <w:rsid w:val="006F14C6"/>
    <w:rsid w:val="006F15BC"/>
    <w:rsid w:val="006F6F42"/>
    <w:rsid w:val="006F700C"/>
    <w:rsid w:val="0070006B"/>
    <w:rsid w:val="00700ABA"/>
    <w:rsid w:val="00700DB5"/>
    <w:rsid w:val="007021AA"/>
    <w:rsid w:val="007049D0"/>
    <w:rsid w:val="00710EB5"/>
    <w:rsid w:val="00711D3B"/>
    <w:rsid w:val="00712223"/>
    <w:rsid w:val="0071253A"/>
    <w:rsid w:val="007128A8"/>
    <w:rsid w:val="00715E60"/>
    <w:rsid w:val="00716D06"/>
    <w:rsid w:val="00721195"/>
    <w:rsid w:val="00721F00"/>
    <w:rsid w:val="007228FA"/>
    <w:rsid w:val="007251CF"/>
    <w:rsid w:val="007265FB"/>
    <w:rsid w:val="00726843"/>
    <w:rsid w:val="007309B3"/>
    <w:rsid w:val="0073289B"/>
    <w:rsid w:val="00733D0D"/>
    <w:rsid w:val="007344A0"/>
    <w:rsid w:val="0073533D"/>
    <w:rsid w:val="0073598C"/>
    <w:rsid w:val="00735E94"/>
    <w:rsid w:val="007373CA"/>
    <w:rsid w:val="00740872"/>
    <w:rsid w:val="00740981"/>
    <w:rsid w:val="00740F85"/>
    <w:rsid w:val="007415B3"/>
    <w:rsid w:val="00750806"/>
    <w:rsid w:val="0075318A"/>
    <w:rsid w:val="00753782"/>
    <w:rsid w:val="00761248"/>
    <w:rsid w:val="00761F29"/>
    <w:rsid w:val="007668A1"/>
    <w:rsid w:val="00767AC1"/>
    <w:rsid w:val="007707C2"/>
    <w:rsid w:val="0077082C"/>
    <w:rsid w:val="00772B8E"/>
    <w:rsid w:val="00774BBF"/>
    <w:rsid w:val="00775D73"/>
    <w:rsid w:val="00784709"/>
    <w:rsid w:val="00784C0A"/>
    <w:rsid w:val="007869A4"/>
    <w:rsid w:val="0079031E"/>
    <w:rsid w:val="00790401"/>
    <w:rsid w:val="00790EAB"/>
    <w:rsid w:val="00793579"/>
    <w:rsid w:val="0079445D"/>
    <w:rsid w:val="00796478"/>
    <w:rsid w:val="007A000D"/>
    <w:rsid w:val="007A04CD"/>
    <w:rsid w:val="007A055A"/>
    <w:rsid w:val="007A326D"/>
    <w:rsid w:val="007A3CB3"/>
    <w:rsid w:val="007B54AF"/>
    <w:rsid w:val="007C23DB"/>
    <w:rsid w:val="007C39FE"/>
    <w:rsid w:val="007C3EAA"/>
    <w:rsid w:val="007C7AF0"/>
    <w:rsid w:val="007D04A1"/>
    <w:rsid w:val="007D0522"/>
    <w:rsid w:val="007D2F4F"/>
    <w:rsid w:val="007D36CB"/>
    <w:rsid w:val="007D3812"/>
    <w:rsid w:val="007D49E2"/>
    <w:rsid w:val="007D6E02"/>
    <w:rsid w:val="007D7474"/>
    <w:rsid w:val="007E05CB"/>
    <w:rsid w:val="007E2ABB"/>
    <w:rsid w:val="007E64A1"/>
    <w:rsid w:val="007F30C3"/>
    <w:rsid w:val="007F36A1"/>
    <w:rsid w:val="007F4640"/>
    <w:rsid w:val="007F5C5F"/>
    <w:rsid w:val="007F665E"/>
    <w:rsid w:val="007F66D1"/>
    <w:rsid w:val="007F72A0"/>
    <w:rsid w:val="007F7FD1"/>
    <w:rsid w:val="008022FC"/>
    <w:rsid w:val="008024FA"/>
    <w:rsid w:val="00803D2C"/>
    <w:rsid w:val="008069D9"/>
    <w:rsid w:val="00806FA9"/>
    <w:rsid w:val="008121D5"/>
    <w:rsid w:val="008150F7"/>
    <w:rsid w:val="00820787"/>
    <w:rsid w:val="00820859"/>
    <w:rsid w:val="008208E6"/>
    <w:rsid w:val="00822F7D"/>
    <w:rsid w:val="008304EA"/>
    <w:rsid w:val="0083458A"/>
    <w:rsid w:val="008355E5"/>
    <w:rsid w:val="00835F11"/>
    <w:rsid w:val="00836EB5"/>
    <w:rsid w:val="0083724C"/>
    <w:rsid w:val="008378DF"/>
    <w:rsid w:val="00837D16"/>
    <w:rsid w:val="00842212"/>
    <w:rsid w:val="00842A1B"/>
    <w:rsid w:val="008445B6"/>
    <w:rsid w:val="0084705A"/>
    <w:rsid w:val="00850805"/>
    <w:rsid w:val="00853556"/>
    <w:rsid w:val="00855602"/>
    <w:rsid w:val="00856B08"/>
    <w:rsid w:val="00860160"/>
    <w:rsid w:val="008618A9"/>
    <w:rsid w:val="008626CB"/>
    <w:rsid w:val="008636AB"/>
    <w:rsid w:val="008716A9"/>
    <w:rsid w:val="00873397"/>
    <w:rsid w:val="00873CE2"/>
    <w:rsid w:val="008747F7"/>
    <w:rsid w:val="00874B30"/>
    <w:rsid w:val="008765FC"/>
    <w:rsid w:val="008773E1"/>
    <w:rsid w:val="00877BEE"/>
    <w:rsid w:val="00877F06"/>
    <w:rsid w:val="00881569"/>
    <w:rsid w:val="00882A4D"/>
    <w:rsid w:val="00883C9F"/>
    <w:rsid w:val="00886B5E"/>
    <w:rsid w:val="00887CCC"/>
    <w:rsid w:val="0089004C"/>
    <w:rsid w:val="0089163A"/>
    <w:rsid w:val="0089173D"/>
    <w:rsid w:val="0089429B"/>
    <w:rsid w:val="00895DD1"/>
    <w:rsid w:val="008A0E5B"/>
    <w:rsid w:val="008A4552"/>
    <w:rsid w:val="008A7157"/>
    <w:rsid w:val="008B10E2"/>
    <w:rsid w:val="008B40A4"/>
    <w:rsid w:val="008B682B"/>
    <w:rsid w:val="008B6DAC"/>
    <w:rsid w:val="008C12B8"/>
    <w:rsid w:val="008C2704"/>
    <w:rsid w:val="008C7541"/>
    <w:rsid w:val="008D17E3"/>
    <w:rsid w:val="008D1A7F"/>
    <w:rsid w:val="008D1CFF"/>
    <w:rsid w:val="008D2738"/>
    <w:rsid w:val="008D37B1"/>
    <w:rsid w:val="008D4CC6"/>
    <w:rsid w:val="008D5BB8"/>
    <w:rsid w:val="008D6A9E"/>
    <w:rsid w:val="008E0A05"/>
    <w:rsid w:val="008E1CFA"/>
    <w:rsid w:val="008E66FB"/>
    <w:rsid w:val="008E7BA8"/>
    <w:rsid w:val="008F030F"/>
    <w:rsid w:val="008F257E"/>
    <w:rsid w:val="008F39E0"/>
    <w:rsid w:val="008F4A85"/>
    <w:rsid w:val="008F59D9"/>
    <w:rsid w:val="00901AC6"/>
    <w:rsid w:val="009020E5"/>
    <w:rsid w:val="00902275"/>
    <w:rsid w:val="00902533"/>
    <w:rsid w:val="00904B9D"/>
    <w:rsid w:val="009051BD"/>
    <w:rsid w:val="009061AA"/>
    <w:rsid w:val="009062D8"/>
    <w:rsid w:val="00910BDE"/>
    <w:rsid w:val="00911820"/>
    <w:rsid w:val="00912541"/>
    <w:rsid w:val="009127DC"/>
    <w:rsid w:val="00912999"/>
    <w:rsid w:val="00914928"/>
    <w:rsid w:val="00923BB8"/>
    <w:rsid w:val="009241E8"/>
    <w:rsid w:val="00926142"/>
    <w:rsid w:val="00926450"/>
    <w:rsid w:val="00934D2B"/>
    <w:rsid w:val="00936B20"/>
    <w:rsid w:val="00936DC0"/>
    <w:rsid w:val="009371FC"/>
    <w:rsid w:val="009378EF"/>
    <w:rsid w:val="00940D1D"/>
    <w:rsid w:val="00940F6F"/>
    <w:rsid w:val="0094202B"/>
    <w:rsid w:val="009434CC"/>
    <w:rsid w:val="00943B65"/>
    <w:rsid w:val="00944BD7"/>
    <w:rsid w:val="00945580"/>
    <w:rsid w:val="00950827"/>
    <w:rsid w:val="009519FE"/>
    <w:rsid w:val="0095398C"/>
    <w:rsid w:val="00954FC9"/>
    <w:rsid w:val="00955F84"/>
    <w:rsid w:val="00961AC7"/>
    <w:rsid w:val="009620ED"/>
    <w:rsid w:val="00962ECD"/>
    <w:rsid w:val="009643E6"/>
    <w:rsid w:val="009651C1"/>
    <w:rsid w:val="009652F7"/>
    <w:rsid w:val="00965503"/>
    <w:rsid w:val="00967BE3"/>
    <w:rsid w:val="0097135F"/>
    <w:rsid w:val="00971DF8"/>
    <w:rsid w:val="009810F3"/>
    <w:rsid w:val="00983321"/>
    <w:rsid w:val="009850C6"/>
    <w:rsid w:val="00987512"/>
    <w:rsid w:val="00991DB7"/>
    <w:rsid w:val="009A1E00"/>
    <w:rsid w:val="009A4DC4"/>
    <w:rsid w:val="009B0628"/>
    <w:rsid w:val="009B0D11"/>
    <w:rsid w:val="009B3009"/>
    <w:rsid w:val="009B3A5A"/>
    <w:rsid w:val="009B5659"/>
    <w:rsid w:val="009B6A50"/>
    <w:rsid w:val="009B7087"/>
    <w:rsid w:val="009B74A9"/>
    <w:rsid w:val="009C0E61"/>
    <w:rsid w:val="009C1E94"/>
    <w:rsid w:val="009C1F6F"/>
    <w:rsid w:val="009C4870"/>
    <w:rsid w:val="009C53F4"/>
    <w:rsid w:val="009D0782"/>
    <w:rsid w:val="009D0EFE"/>
    <w:rsid w:val="009D1267"/>
    <w:rsid w:val="009D4479"/>
    <w:rsid w:val="009D4CDD"/>
    <w:rsid w:val="009D50F0"/>
    <w:rsid w:val="009D57FA"/>
    <w:rsid w:val="009D755B"/>
    <w:rsid w:val="009E3890"/>
    <w:rsid w:val="009E4479"/>
    <w:rsid w:val="009E710B"/>
    <w:rsid w:val="009E7864"/>
    <w:rsid w:val="009F182E"/>
    <w:rsid w:val="009F216C"/>
    <w:rsid w:val="009F2BBA"/>
    <w:rsid w:val="009F3095"/>
    <w:rsid w:val="009F38A3"/>
    <w:rsid w:val="009F4402"/>
    <w:rsid w:val="009F44AF"/>
    <w:rsid w:val="009F5AF9"/>
    <w:rsid w:val="009F750C"/>
    <w:rsid w:val="009F7DD3"/>
    <w:rsid w:val="00A00694"/>
    <w:rsid w:val="00A01A11"/>
    <w:rsid w:val="00A025D6"/>
    <w:rsid w:val="00A02CCB"/>
    <w:rsid w:val="00A046F1"/>
    <w:rsid w:val="00A0532A"/>
    <w:rsid w:val="00A067A1"/>
    <w:rsid w:val="00A068D0"/>
    <w:rsid w:val="00A06AAE"/>
    <w:rsid w:val="00A11E82"/>
    <w:rsid w:val="00A13AB5"/>
    <w:rsid w:val="00A15C0B"/>
    <w:rsid w:val="00A17720"/>
    <w:rsid w:val="00A21288"/>
    <w:rsid w:val="00A23187"/>
    <w:rsid w:val="00A2457C"/>
    <w:rsid w:val="00A30C2F"/>
    <w:rsid w:val="00A31626"/>
    <w:rsid w:val="00A33BD9"/>
    <w:rsid w:val="00A34B18"/>
    <w:rsid w:val="00A377C6"/>
    <w:rsid w:val="00A40059"/>
    <w:rsid w:val="00A41BAA"/>
    <w:rsid w:val="00A421B4"/>
    <w:rsid w:val="00A434AA"/>
    <w:rsid w:val="00A45630"/>
    <w:rsid w:val="00A468DF"/>
    <w:rsid w:val="00A5214A"/>
    <w:rsid w:val="00A52981"/>
    <w:rsid w:val="00A54CC0"/>
    <w:rsid w:val="00A55094"/>
    <w:rsid w:val="00A5546E"/>
    <w:rsid w:val="00A6069B"/>
    <w:rsid w:val="00A609BC"/>
    <w:rsid w:val="00A61C4E"/>
    <w:rsid w:val="00A6366E"/>
    <w:rsid w:val="00A66818"/>
    <w:rsid w:val="00A67592"/>
    <w:rsid w:val="00A71A46"/>
    <w:rsid w:val="00A77850"/>
    <w:rsid w:val="00A80653"/>
    <w:rsid w:val="00A83487"/>
    <w:rsid w:val="00A859E2"/>
    <w:rsid w:val="00A862A6"/>
    <w:rsid w:val="00A86C91"/>
    <w:rsid w:val="00A94966"/>
    <w:rsid w:val="00A94D35"/>
    <w:rsid w:val="00AA030C"/>
    <w:rsid w:val="00AA1E28"/>
    <w:rsid w:val="00AA26EC"/>
    <w:rsid w:val="00AA2CE1"/>
    <w:rsid w:val="00AA2E29"/>
    <w:rsid w:val="00AA3874"/>
    <w:rsid w:val="00AA4FA6"/>
    <w:rsid w:val="00AA5B79"/>
    <w:rsid w:val="00AA7452"/>
    <w:rsid w:val="00AB158C"/>
    <w:rsid w:val="00AB3541"/>
    <w:rsid w:val="00AB3DCF"/>
    <w:rsid w:val="00AB4419"/>
    <w:rsid w:val="00AB64ED"/>
    <w:rsid w:val="00AB65A4"/>
    <w:rsid w:val="00AC105D"/>
    <w:rsid w:val="00AC16F2"/>
    <w:rsid w:val="00AC2367"/>
    <w:rsid w:val="00AC27D4"/>
    <w:rsid w:val="00AC3539"/>
    <w:rsid w:val="00AC4E77"/>
    <w:rsid w:val="00AC6DEA"/>
    <w:rsid w:val="00AC71CE"/>
    <w:rsid w:val="00AD2026"/>
    <w:rsid w:val="00AD41CB"/>
    <w:rsid w:val="00AD4E22"/>
    <w:rsid w:val="00AE001B"/>
    <w:rsid w:val="00AE1199"/>
    <w:rsid w:val="00AE27A4"/>
    <w:rsid w:val="00AE64B8"/>
    <w:rsid w:val="00AF079D"/>
    <w:rsid w:val="00AF2629"/>
    <w:rsid w:val="00AF3483"/>
    <w:rsid w:val="00AF42B5"/>
    <w:rsid w:val="00AF5B72"/>
    <w:rsid w:val="00AF78BD"/>
    <w:rsid w:val="00B019C7"/>
    <w:rsid w:val="00B02A96"/>
    <w:rsid w:val="00B03F47"/>
    <w:rsid w:val="00B06EC2"/>
    <w:rsid w:val="00B10952"/>
    <w:rsid w:val="00B11D98"/>
    <w:rsid w:val="00B13959"/>
    <w:rsid w:val="00B153AB"/>
    <w:rsid w:val="00B17670"/>
    <w:rsid w:val="00B17B57"/>
    <w:rsid w:val="00B220DF"/>
    <w:rsid w:val="00B2245C"/>
    <w:rsid w:val="00B2401D"/>
    <w:rsid w:val="00B24952"/>
    <w:rsid w:val="00B260D7"/>
    <w:rsid w:val="00B2718A"/>
    <w:rsid w:val="00B31B9C"/>
    <w:rsid w:val="00B34309"/>
    <w:rsid w:val="00B40881"/>
    <w:rsid w:val="00B4143E"/>
    <w:rsid w:val="00B433F1"/>
    <w:rsid w:val="00B477E7"/>
    <w:rsid w:val="00B47AD3"/>
    <w:rsid w:val="00B53AA1"/>
    <w:rsid w:val="00B54A2E"/>
    <w:rsid w:val="00B55C73"/>
    <w:rsid w:val="00B55E11"/>
    <w:rsid w:val="00B63D2C"/>
    <w:rsid w:val="00B66FAE"/>
    <w:rsid w:val="00B73F70"/>
    <w:rsid w:val="00B74617"/>
    <w:rsid w:val="00B76430"/>
    <w:rsid w:val="00B775E6"/>
    <w:rsid w:val="00B845E7"/>
    <w:rsid w:val="00B84F02"/>
    <w:rsid w:val="00B85DA3"/>
    <w:rsid w:val="00B86DD6"/>
    <w:rsid w:val="00B874E8"/>
    <w:rsid w:val="00B91293"/>
    <w:rsid w:val="00B92CB9"/>
    <w:rsid w:val="00B93F81"/>
    <w:rsid w:val="00B95224"/>
    <w:rsid w:val="00B95657"/>
    <w:rsid w:val="00BA0DD7"/>
    <w:rsid w:val="00BA3747"/>
    <w:rsid w:val="00BA6A5F"/>
    <w:rsid w:val="00BB0A3B"/>
    <w:rsid w:val="00BB4173"/>
    <w:rsid w:val="00BC0110"/>
    <w:rsid w:val="00BC0503"/>
    <w:rsid w:val="00BC099D"/>
    <w:rsid w:val="00BC2F08"/>
    <w:rsid w:val="00BC5824"/>
    <w:rsid w:val="00BC635B"/>
    <w:rsid w:val="00BC7B62"/>
    <w:rsid w:val="00BD494B"/>
    <w:rsid w:val="00BD4D34"/>
    <w:rsid w:val="00BE01FF"/>
    <w:rsid w:val="00BE3676"/>
    <w:rsid w:val="00BE4901"/>
    <w:rsid w:val="00BE5454"/>
    <w:rsid w:val="00BE6F19"/>
    <w:rsid w:val="00BE7D2B"/>
    <w:rsid w:val="00BF25A1"/>
    <w:rsid w:val="00BF28B7"/>
    <w:rsid w:val="00BF356A"/>
    <w:rsid w:val="00BF3FA7"/>
    <w:rsid w:val="00BF4D5D"/>
    <w:rsid w:val="00BF685C"/>
    <w:rsid w:val="00C00CDC"/>
    <w:rsid w:val="00C026C0"/>
    <w:rsid w:val="00C04C54"/>
    <w:rsid w:val="00C07F15"/>
    <w:rsid w:val="00C1212B"/>
    <w:rsid w:val="00C1386C"/>
    <w:rsid w:val="00C226E8"/>
    <w:rsid w:val="00C2389E"/>
    <w:rsid w:val="00C25FD1"/>
    <w:rsid w:val="00C26751"/>
    <w:rsid w:val="00C309CB"/>
    <w:rsid w:val="00C324DB"/>
    <w:rsid w:val="00C35301"/>
    <w:rsid w:val="00C366A0"/>
    <w:rsid w:val="00C42E0B"/>
    <w:rsid w:val="00C50BBB"/>
    <w:rsid w:val="00C50CDC"/>
    <w:rsid w:val="00C52849"/>
    <w:rsid w:val="00C53675"/>
    <w:rsid w:val="00C62C2A"/>
    <w:rsid w:val="00C65579"/>
    <w:rsid w:val="00C6578F"/>
    <w:rsid w:val="00C6726B"/>
    <w:rsid w:val="00C67373"/>
    <w:rsid w:val="00C70293"/>
    <w:rsid w:val="00C720E7"/>
    <w:rsid w:val="00C74732"/>
    <w:rsid w:val="00C80D7E"/>
    <w:rsid w:val="00C81987"/>
    <w:rsid w:val="00C831A3"/>
    <w:rsid w:val="00C84216"/>
    <w:rsid w:val="00C844EE"/>
    <w:rsid w:val="00C84A6D"/>
    <w:rsid w:val="00C8640C"/>
    <w:rsid w:val="00C90AA6"/>
    <w:rsid w:val="00C90D27"/>
    <w:rsid w:val="00C944DF"/>
    <w:rsid w:val="00C951F9"/>
    <w:rsid w:val="00CA01E1"/>
    <w:rsid w:val="00CA0696"/>
    <w:rsid w:val="00CA13B4"/>
    <w:rsid w:val="00CA3354"/>
    <w:rsid w:val="00CA4327"/>
    <w:rsid w:val="00CA530A"/>
    <w:rsid w:val="00CB0EE0"/>
    <w:rsid w:val="00CB190A"/>
    <w:rsid w:val="00CB4BBF"/>
    <w:rsid w:val="00CB7EE5"/>
    <w:rsid w:val="00CC031C"/>
    <w:rsid w:val="00CC2C60"/>
    <w:rsid w:val="00CC3D12"/>
    <w:rsid w:val="00CC404A"/>
    <w:rsid w:val="00CC4FD9"/>
    <w:rsid w:val="00CC7387"/>
    <w:rsid w:val="00CD2A31"/>
    <w:rsid w:val="00CD3CB7"/>
    <w:rsid w:val="00CD51D7"/>
    <w:rsid w:val="00CD72CE"/>
    <w:rsid w:val="00CD7BC8"/>
    <w:rsid w:val="00CE14C7"/>
    <w:rsid w:val="00CE1841"/>
    <w:rsid w:val="00CE2A7F"/>
    <w:rsid w:val="00CE3BC0"/>
    <w:rsid w:val="00CE48F1"/>
    <w:rsid w:val="00CE4B0B"/>
    <w:rsid w:val="00CE789B"/>
    <w:rsid w:val="00CF7F35"/>
    <w:rsid w:val="00CF7F3A"/>
    <w:rsid w:val="00D03494"/>
    <w:rsid w:val="00D0462F"/>
    <w:rsid w:val="00D0654C"/>
    <w:rsid w:val="00D10208"/>
    <w:rsid w:val="00D12208"/>
    <w:rsid w:val="00D12E86"/>
    <w:rsid w:val="00D144F2"/>
    <w:rsid w:val="00D14EDB"/>
    <w:rsid w:val="00D17B4D"/>
    <w:rsid w:val="00D24E1C"/>
    <w:rsid w:val="00D2721F"/>
    <w:rsid w:val="00D30197"/>
    <w:rsid w:val="00D31E19"/>
    <w:rsid w:val="00D324BA"/>
    <w:rsid w:val="00D328D0"/>
    <w:rsid w:val="00D33B32"/>
    <w:rsid w:val="00D34952"/>
    <w:rsid w:val="00D35D18"/>
    <w:rsid w:val="00D36DA5"/>
    <w:rsid w:val="00D37AF6"/>
    <w:rsid w:val="00D37D49"/>
    <w:rsid w:val="00D40760"/>
    <w:rsid w:val="00D408FE"/>
    <w:rsid w:val="00D43928"/>
    <w:rsid w:val="00D45FF8"/>
    <w:rsid w:val="00D46027"/>
    <w:rsid w:val="00D46514"/>
    <w:rsid w:val="00D50816"/>
    <w:rsid w:val="00D52694"/>
    <w:rsid w:val="00D53AC4"/>
    <w:rsid w:val="00D5410A"/>
    <w:rsid w:val="00D5612B"/>
    <w:rsid w:val="00D5796A"/>
    <w:rsid w:val="00D61930"/>
    <w:rsid w:val="00D61D90"/>
    <w:rsid w:val="00D631E4"/>
    <w:rsid w:val="00D64259"/>
    <w:rsid w:val="00D64A58"/>
    <w:rsid w:val="00D658D8"/>
    <w:rsid w:val="00D65D7C"/>
    <w:rsid w:val="00D676AF"/>
    <w:rsid w:val="00D70832"/>
    <w:rsid w:val="00D720D3"/>
    <w:rsid w:val="00D75477"/>
    <w:rsid w:val="00D761A4"/>
    <w:rsid w:val="00D91CBC"/>
    <w:rsid w:val="00D93FD3"/>
    <w:rsid w:val="00D9563A"/>
    <w:rsid w:val="00D9707F"/>
    <w:rsid w:val="00D97233"/>
    <w:rsid w:val="00D9758E"/>
    <w:rsid w:val="00DA0425"/>
    <w:rsid w:val="00DA056C"/>
    <w:rsid w:val="00DA2F4B"/>
    <w:rsid w:val="00DA355A"/>
    <w:rsid w:val="00DA657B"/>
    <w:rsid w:val="00DA7AD1"/>
    <w:rsid w:val="00DB4267"/>
    <w:rsid w:val="00DB4537"/>
    <w:rsid w:val="00DB4E6F"/>
    <w:rsid w:val="00DB4F13"/>
    <w:rsid w:val="00DB56D8"/>
    <w:rsid w:val="00DB5D49"/>
    <w:rsid w:val="00DB6C01"/>
    <w:rsid w:val="00DB7100"/>
    <w:rsid w:val="00DC1447"/>
    <w:rsid w:val="00DC1A3B"/>
    <w:rsid w:val="00DC1BBE"/>
    <w:rsid w:val="00DC30F9"/>
    <w:rsid w:val="00DC4A04"/>
    <w:rsid w:val="00DD2607"/>
    <w:rsid w:val="00DD2E74"/>
    <w:rsid w:val="00DD5AB4"/>
    <w:rsid w:val="00DD6CCC"/>
    <w:rsid w:val="00DE1BA1"/>
    <w:rsid w:val="00DE1BAD"/>
    <w:rsid w:val="00DE6EFE"/>
    <w:rsid w:val="00DE7337"/>
    <w:rsid w:val="00DF0843"/>
    <w:rsid w:val="00DF0FE1"/>
    <w:rsid w:val="00DF2206"/>
    <w:rsid w:val="00E00FEB"/>
    <w:rsid w:val="00E01825"/>
    <w:rsid w:val="00E02186"/>
    <w:rsid w:val="00E02A28"/>
    <w:rsid w:val="00E02AEC"/>
    <w:rsid w:val="00E03A95"/>
    <w:rsid w:val="00E044FE"/>
    <w:rsid w:val="00E05711"/>
    <w:rsid w:val="00E0612F"/>
    <w:rsid w:val="00E06A52"/>
    <w:rsid w:val="00E07AA8"/>
    <w:rsid w:val="00E11B36"/>
    <w:rsid w:val="00E13D16"/>
    <w:rsid w:val="00E14C33"/>
    <w:rsid w:val="00E157CF"/>
    <w:rsid w:val="00E2082A"/>
    <w:rsid w:val="00E250A3"/>
    <w:rsid w:val="00E252A4"/>
    <w:rsid w:val="00E25EFA"/>
    <w:rsid w:val="00E27438"/>
    <w:rsid w:val="00E27E63"/>
    <w:rsid w:val="00E30E2D"/>
    <w:rsid w:val="00E35B96"/>
    <w:rsid w:val="00E36E5E"/>
    <w:rsid w:val="00E46071"/>
    <w:rsid w:val="00E46DE2"/>
    <w:rsid w:val="00E5388C"/>
    <w:rsid w:val="00E61949"/>
    <w:rsid w:val="00E63C1C"/>
    <w:rsid w:val="00E63EF5"/>
    <w:rsid w:val="00E66E9A"/>
    <w:rsid w:val="00E74034"/>
    <w:rsid w:val="00E82BEE"/>
    <w:rsid w:val="00E82C44"/>
    <w:rsid w:val="00E84730"/>
    <w:rsid w:val="00E92632"/>
    <w:rsid w:val="00E95ADB"/>
    <w:rsid w:val="00E95CB1"/>
    <w:rsid w:val="00EA25B1"/>
    <w:rsid w:val="00EB1712"/>
    <w:rsid w:val="00EB6186"/>
    <w:rsid w:val="00EB68E6"/>
    <w:rsid w:val="00EB7CC8"/>
    <w:rsid w:val="00EB7CF6"/>
    <w:rsid w:val="00EC3CF0"/>
    <w:rsid w:val="00EC43AC"/>
    <w:rsid w:val="00EC5167"/>
    <w:rsid w:val="00EC5953"/>
    <w:rsid w:val="00EC5F0C"/>
    <w:rsid w:val="00EC7060"/>
    <w:rsid w:val="00ED0B17"/>
    <w:rsid w:val="00ED2872"/>
    <w:rsid w:val="00ED550C"/>
    <w:rsid w:val="00ED5BC7"/>
    <w:rsid w:val="00ED6E1A"/>
    <w:rsid w:val="00ED75AB"/>
    <w:rsid w:val="00ED7E7B"/>
    <w:rsid w:val="00EE303D"/>
    <w:rsid w:val="00EE4089"/>
    <w:rsid w:val="00EE5F42"/>
    <w:rsid w:val="00EF14A9"/>
    <w:rsid w:val="00EF183D"/>
    <w:rsid w:val="00EF2496"/>
    <w:rsid w:val="00EF4496"/>
    <w:rsid w:val="00EF44C2"/>
    <w:rsid w:val="00F002BC"/>
    <w:rsid w:val="00F00C35"/>
    <w:rsid w:val="00F011A0"/>
    <w:rsid w:val="00F02EB5"/>
    <w:rsid w:val="00F05285"/>
    <w:rsid w:val="00F11136"/>
    <w:rsid w:val="00F12820"/>
    <w:rsid w:val="00F149E2"/>
    <w:rsid w:val="00F149E9"/>
    <w:rsid w:val="00F1522C"/>
    <w:rsid w:val="00F16E21"/>
    <w:rsid w:val="00F16E5A"/>
    <w:rsid w:val="00F16FA7"/>
    <w:rsid w:val="00F17BFA"/>
    <w:rsid w:val="00F221B0"/>
    <w:rsid w:val="00F248E2"/>
    <w:rsid w:val="00F26944"/>
    <w:rsid w:val="00F26A21"/>
    <w:rsid w:val="00F26EBB"/>
    <w:rsid w:val="00F27910"/>
    <w:rsid w:val="00F3033B"/>
    <w:rsid w:val="00F30B88"/>
    <w:rsid w:val="00F3339C"/>
    <w:rsid w:val="00F33D93"/>
    <w:rsid w:val="00F4094A"/>
    <w:rsid w:val="00F418F9"/>
    <w:rsid w:val="00F41DE5"/>
    <w:rsid w:val="00F44D48"/>
    <w:rsid w:val="00F45A9E"/>
    <w:rsid w:val="00F4661D"/>
    <w:rsid w:val="00F477A6"/>
    <w:rsid w:val="00F511F6"/>
    <w:rsid w:val="00F53DA3"/>
    <w:rsid w:val="00F56BE6"/>
    <w:rsid w:val="00F62BD4"/>
    <w:rsid w:val="00F6476A"/>
    <w:rsid w:val="00F74644"/>
    <w:rsid w:val="00F9008F"/>
    <w:rsid w:val="00F935CF"/>
    <w:rsid w:val="00F9459A"/>
    <w:rsid w:val="00F9655A"/>
    <w:rsid w:val="00FA13A8"/>
    <w:rsid w:val="00FA1A34"/>
    <w:rsid w:val="00FA7274"/>
    <w:rsid w:val="00FA791F"/>
    <w:rsid w:val="00FB24A1"/>
    <w:rsid w:val="00FB34E3"/>
    <w:rsid w:val="00FC0975"/>
    <w:rsid w:val="00FC2140"/>
    <w:rsid w:val="00FC2A9F"/>
    <w:rsid w:val="00FC548A"/>
    <w:rsid w:val="00FC5E87"/>
    <w:rsid w:val="00FC6E2D"/>
    <w:rsid w:val="00FD09D1"/>
    <w:rsid w:val="00FD0E49"/>
    <w:rsid w:val="00FD1382"/>
    <w:rsid w:val="00FD1A72"/>
    <w:rsid w:val="00FD400C"/>
    <w:rsid w:val="00FD40EE"/>
    <w:rsid w:val="00FE49B5"/>
    <w:rsid w:val="00FE58ED"/>
    <w:rsid w:val="00FE61C2"/>
    <w:rsid w:val="00FE7003"/>
    <w:rsid w:val="00FF0B4B"/>
    <w:rsid w:val="00FF0FB1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0595"/>
  <w15:docId w15:val="{20369194-C3EE-4865-86FA-FA98C4EC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aliases w:val="Styl moj,Akapit z listą11,podpunkt ankietyy,Table Legend,Bullet1,List Paragraph1,List Paragraph"/>
    <w:basedOn w:val="Normalny"/>
    <w:link w:val="AkapitzlistZnak"/>
    <w:uiPriority w:val="34"/>
    <w:qFormat/>
    <w:rsid w:val="001A18DE"/>
    <w:pPr>
      <w:ind w:left="720"/>
      <w:contextualSpacing/>
    </w:pPr>
  </w:style>
  <w:style w:type="paragraph" w:customStyle="1" w:styleId="Default">
    <w:name w:val="Default"/>
    <w:rsid w:val="00961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C8640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640C"/>
    <w:pPr>
      <w:widowControl w:val="0"/>
      <w:shd w:val="clear" w:color="auto" w:fill="FFFFFF"/>
      <w:spacing w:after="60" w:line="248" w:lineRule="exact"/>
      <w:ind w:hanging="480"/>
    </w:pPr>
    <w:rPr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CA0696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"/>
    <w:link w:val="Akapitzlist"/>
    <w:uiPriority w:val="34"/>
    <w:locked/>
    <w:rsid w:val="002E4F9E"/>
  </w:style>
  <w:style w:type="character" w:customStyle="1" w:styleId="TeksttreciPogrubienie">
    <w:name w:val="Tekst treści + Pogrubienie"/>
    <w:basedOn w:val="Teksttreci"/>
    <w:rsid w:val="007A00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identifier">
    <w:name w:val="identifier"/>
    <w:basedOn w:val="Domylnaczcionkaakapitu"/>
    <w:qFormat/>
    <w:rsid w:val="00CC4FD9"/>
  </w:style>
  <w:style w:type="paragraph" w:styleId="NormalnyWeb">
    <w:name w:val="Normal (Web)"/>
    <w:basedOn w:val="Normalny"/>
    <w:uiPriority w:val="99"/>
    <w:unhideWhenUsed/>
    <w:rsid w:val="00CC4FD9"/>
    <w:pPr>
      <w:spacing w:after="0" w:line="240" w:lineRule="auto"/>
    </w:pPr>
    <w:rPr>
      <w:rFonts w:ascii="Calibri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rsid w:val="000F2B9B"/>
    <w:pPr>
      <w:spacing w:after="0" w:line="240" w:lineRule="auto"/>
      <w:ind w:firstLine="42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2638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2638D"/>
    <w:rPr>
      <w:rFonts w:ascii="Calibri" w:hAnsi="Calibri"/>
      <w:szCs w:val="21"/>
    </w:rPr>
  </w:style>
  <w:style w:type="character" w:customStyle="1" w:styleId="cf01">
    <w:name w:val="cf01"/>
    <w:basedOn w:val="Domylnaczcionkaakapitu"/>
    <w:rsid w:val="002B3AD8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938A1-19F3-4A45-8812-B73B7A00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2994</Words>
  <Characters>17964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dc:description/>
  <cp:lastModifiedBy>Kosmal Martyna</cp:lastModifiedBy>
  <cp:revision>8</cp:revision>
  <cp:lastPrinted>2023-02-05T13:50:00Z</cp:lastPrinted>
  <dcterms:created xsi:type="dcterms:W3CDTF">2023-02-13T05:26:00Z</dcterms:created>
  <dcterms:modified xsi:type="dcterms:W3CDTF">2023-02-17T11:49:00Z</dcterms:modified>
</cp:coreProperties>
</file>